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B85A5" w14:textId="3C2F5036" w:rsidR="00A035BD" w:rsidRPr="00A42147" w:rsidRDefault="00A42147">
      <w:pPr>
        <w:rPr>
          <w:rFonts w:ascii="Arial" w:hAnsi="Arial" w:cs="Arial"/>
          <w:sz w:val="24"/>
          <w:szCs w:val="24"/>
        </w:rPr>
      </w:pPr>
      <w:r w:rsidRPr="00A42147">
        <w:rPr>
          <w:rFonts w:ascii="Arial" w:hAnsi="Arial" w:cs="Arial"/>
          <w:sz w:val="24"/>
          <w:szCs w:val="24"/>
        </w:rPr>
        <w:t>Members of the ICT Steering Committee</w:t>
      </w:r>
    </w:p>
    <w:p w14:paraId="7C050831" w14:textId="77777777" w:rsidR="00A42147" w:rsidRPr="00A42147" w:rsidRDefault="00A42147" w:rsidP="00A421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2" w:lineRule="exact"/>
        <w:rPr>
          <w:rFonts w:ascii="Arial" w:hAnsi="Arial" w:cs="Arial"/>
          <w:color w:val="000000"/>
          <w:sz w:val="24"/>
          <w:szCs w:val="24"/>
        </w:rPr>
      </w:pPr>
      <w:r w:rsidRPr="00A42147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Pr="00A42147">
        <w:rPr>
          <w:rFonts w:ascii="Arial" w:hAnsi="Arial" w:cs="Arial"/>
          <w:b/>
          <w:sz w:val="24"/>
          <w:szCs w:val="24"/>
        </w:rPr>
        <w:t>External</w:t>
      </w:r>
      <w:r w:rsidRPr="00A4214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A42147">
        <w:rPr>
          <w:rFonts w:ascii="Arial" w:hAnsi="Arial" w:cs="Arial"/>
          <w:b/>
          <w:color w:val="000000"/>
          <w:sz w:val="24"/>
          <w:szCs w:val="24"/>
        </w:rPr>
        <w:t>Chairperson.</w:t>
      </w:r>
    </w:p>
    <w:p w14:paraId="59D765F1" w14:textId="77777777" w:rsidR="00A42147" w:rsidRPr="00A42147" w:rsidRDefault="00A42147" w:rsidP="00A421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2" w:lineRule="exact"/>
        <w:rPr>
          <w:rFonts w:ascii="Arial" w:hAnsi="Arial" w:cs="Arial"/>
          <w:color w:val="000000"/>
          <w:sz w:val="24"/>
          <w:szCs w:val="24"/>
        </w:rPr>
      </w:pPr>
      <w:r w:rsidRPr="00A42147">
        <w:rPr>
          <w:rFonts w:ascii="Arial" w:hAnsi="Arial" w:cs="Arial"/>
          <w:b/>
          <w:color w:val="000000"/>
          <w:sz w:val="24"/>
          <w:szCs w:val="24"/>
        </w:rPr>
        <w:t>Divisional Manager Information and Communication Technology.</w:t>
      </w:r>
    </w:p>
    <w:p w14:paraId="1E3CC87D" w14:textId="77777777" w:rsidR="00A42147" w:rsidRPr="00A42147" w:rsidRDefault="00A42147" w:rsidP="00A421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2" w:lineRule="exact"/>
        <w:rPr>
          <w:rFonts w:ascii="Arial" w:hAnsi="Arial" w:cs="Arial"/>
          <w:color w:val="000000"/>
          <w:sz w:val="24"/>
          <w:szCs w:val="24"/>
        </w:rPr>
      </w:pPr>
      <w:r w:rsidRPr="00A42147">
        <w:rPr>
          <w:rFonts w:ascii="Arial" w:hAnsi="Arial" w:cs="Arial"/>
          <w:b/>
          <w:color w:val="000000"/>
          <w:sz w:val="24"/>
          <w:szCs w:val="24"/>
        </w:rPr>
        <w:t>Executive Manager Administration and Corporate Services.</w:t>
      </w:r>
    </w:p>
    <w:p w14:paraId="3E5854A9" w14:textId="5323C4AB" w:rsidR="00A42147" w:rsidRPr="00A42147" w:rsidRDefault="00A42147" w:rsidP="00A421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2" w:lineRule="exact"/>
        <w:rPr>
          <w:rFonts w:ascii="Arial" w:hAnsi="Arial" w:cs="Arial"/>
          <w:color w:val="000000"/>
          <w:sz w:val="24"/>
          <w:szCs w:val="24"/>
        </w:rPr>
      </w:pPr>
      <w:r w:rsidRPr="00A42147">
        <w:rPr>
          <w:rFonts w:ascii="Arial" w:hAnsi="Arial" w:cs="Arial"/>
          <w:b/>
          <w:color w:val="000000"/>
          <w:sz w:val="24"/>
          <w:szCs w:val="24"/>
        </w:rPr>
        <w:t>Executive Manager Community Development Services.</w:t>
      </w:r>
    </w:p>
    <w:p w14:paraId="3BEBEE5E" w14:textId="77777777" w:rsidR="00A42147" w:rsidRPr="00A42147" w:rsidRDefault="00A42147" w:rsidP="00A421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2" w:lineRule="exact"/>
        <w:rPr>
          <w:rFonts w:ascii="Arial" w:hAnsi="Arial" w:cs="Arial"/>
          <w:b/>
          <w:color w:val="000000"/>
          <w:sz w:val="24"/>
          <w:szCs w:val="24"/>
        </w:rPr>
      </w:pPr>
      <w:r w:rsidRPr="00A42147">
        <w:rPr>
          <w:rFonts w:ascii="Arial" w:hAnsi="Arial" w:cs="Arial"/>
          <w:b/>
          <w:color w:val="000000"/>
          <w:sz w:val="24"/>
          <w:szCs w:val="24"/>
        </w:rPr>
        <w:t>Executive Manager Technical Services.</w:t>
      </w:r>
    </w:p>
    <w:p w14:paraId="771FE68E" w14:textId="2E061F4F" w:rsidR="00A42147" w:rsidRPr="00A42147" w:rsidRDefault="00A42147" w:rsidP="00A421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2" w:lineRule="exact"/>
        <w:rPr>
          <w:rFonts w:ascii="Arial" w:hAnsi="Arial" w:cs="Arial"/>
          <w:b/>
          <w:color w:val="000000"/>
          <w:sz w:val="24"/>
          <w:szCs w:val="24"/>
        </w:rPr>
      </w:pPr>
      <w:r w:rsidRPr="00A42147">
        <w:rPr>
          <w:rFonts w:ascii="Arial" w:hAnsi="Arial" w:cs="Arial"/>
          <w:b/>
          <w:color w:val="000000"/>
          <w:sz w:val="24"/>
          <w:szCs w:val="24"/>
        </w:rPr>
        <w:t>Chief Financial Officer.</w:t>
      </w:r>
    </w:p>
    <w:p w14:paraId="1DDCBD84" w14:textId="65246FBA" w:rsidR="00A42147" w:rsidRPr="00A42147" w:rsidRDefault="00A42147" w:rsidP="00A421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2" w:lineRule="exact"/>
        <w:rPr>
          <w:rFonts w:ascii="Arial" w:hAnsi="Arial" w:cs="Arial"/>
          <w:color w:val="000000"/>
          <w:sz w:val="24"/>
          <w:szCs w:val="24"/>
        </w:rPr>
      </w:pPr>
      <w:r w:rsidRPr="00A42147">
        <w:rPr>
          <w:rFonts w:ascii="Arial" w:hAnsi="Arial" w:cs="Arial"/>
          <w:b/>
          <w:color w:val="000000"/>
          <w:sz w:val="24"/>
          <w:szCs w:val="24"/>
        </w:rPr>
        <w:t>Chief Internal Auditor.</w:t>
      </w:r>
    </w:p>
    <w:p w14:paraId="385F2208" w14:textId="41DF1BC5" w:rsidR="00A42147" w:rsidRPr="00A42147" w:rsidRDefault="00A42147" w:rsidP="00A421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2" w:lineRule="exact"/>
        <w:rPr>
          <w:rFonts w:ascii="Arial" w:hAnsi="Arial" w:cs="Arial"/>
          <w:color w:val="000000"/>
          <w:sz w:val="24"/>
          <w:szCs w:val="24"/>
        </w:rPr>
      </w:pPr>
      <w:r w:rsidRPr="00A42147">
        <w:rPr>
          <w:rFonts w:ascii="Arial" w:hAnsi="Arial" w:cs="Arial"/>
          <w:b/>
          <w:color w:val="000000"/>
          <w:sz w:val="24"/>
          <w:szCs w:val="24"/>
        </w:rPr>
        <w:t>Chief Risk Officer.</w:t>
      </w:r>
    </w:p>
    <w:p w14:paraId="34A965C6" w14:textId="31C76B64" w:rsidR="00A42147" w:rsidRDefault="00A42147" w:rsidP="00A421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2" w:lineRule="exact"/>
        <w:rPr>
          <w:rFonts w:ascii="Arial" w:hAnsi="Arial" w:cs="Arial"/>
          <w:b/>
          <w:color w:val="000000"/>
          <w:sz w:val="24"/>
          <w:szCs w:val="24"/>
        </w:rPr>
      </w:pPr>
      <w:r w:rsidRPr="00A42147">
        <w:rPr>
          <w:rFonts w:ascii="Arial" w:hAnsi="Arial" w:cs="Arial"/>
          <w:b/>
          <w:color w:val="000000"/>
          <w:sz w:val="24"/>
          <w:szCs w:val="24"/>
        </w:rPr>
        <w:t>Divisional Manager Organizational Performance Management Systems.</w:t>
      </w:r>
    </w:p>
    <w:p w14:paraId="4A6FAE46" w14:textId="77777777" w:rsidR="00A42147" w:rsidRDefault="00A42147" w:rsidP="00A42147">
      <w:pPr>
        <w:pStyle w:val="ListParagraph"/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  <w:b/>
          <w:color w:val="000000"/>
          <w:sz w:val="24"/>
          <w:szCs w:val="24"/>
        </w:rPr>
      </w:pPr>
    </w:p>
    <w:p w14:paraId="36E98AC9" w14:textId="4A2AE0F0" w:rsidR="00A42147" w:rsidRDefault="00A42147" w:rsidP="00DF7267">
      <w:pPr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  <w:b/>
          <w:color w:val="000000"/>
          <w:sz w:val="24"/>
          <w:szCs w:val="24"/>
        </w:rPr>
      </w:pPr>
      <w:r w:rsidRPr="00DF7267">
        <w:rPr>
          <w:rFonts w:ascii="Arial" w:hAnsi="Arial" w:cs="Arial"/>
          <w:b/>
          <w:color w:val="000000"/>
          <w:sz w:val="24"/>
          <w:szCs w:val="24"/>
        </w:rPr>
        <w:t>Roles and Responsibilities</w:t>
      </w:r>
    </w:p>
    <w:p w14:paraId="6A0442EF" w14:textId="77777777" w:rsidR="00DF7267" w:rsidRPr="00DF7267" w:rsidRDefault="00DF7267" w:rsidP="00DF7267">
      <w:pPr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  <w:b/>
          <w:color w:val="000000"/>
          <w:sz w:val="24"/>
          <w:szCs w:val="24"/>
        </w:rPr>
      </w:pPr>
    </w:p>
    <w:p w14:paraId="594C366B" w14:textId="2DDF5058" w:rsidR="00A42147" w:rsidRPr="00DF7267" w:rsidRDefault="00A42147" w:rsidP="00A4214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F7267">
        <w:rPr>
          <w:rFonts w:ascii="Arial" w:hAnsi="Arial" w:cs="Arial"/>
          <w:color w:val="000000"/>
          <w:sz w:val="24"/>
          <w:szCs w:val="24"/>
        </w:rPr>
        <w:t>Ensure the implementation of the ICT Charter, including the defined ICT governance structures and ICT Governance Policy Framework</w:t>
      </w:r>
      <w:r w:rsidRPr="00DF7267">
        <w:rPr>
          <w:rFonts w:ascii="Arial" w:hAnsi="Arial" w:cs="Arial"/>
          <w:color w:val="000000"/>
          <w:sz w:val="24"/>
          <w:szCs w:val="24"/>
        </w:rPr>
        <w:t>.</w:t>
      </w:r>
    </w:p>
    <w:p w14:paraId="5FFBB2CC" w14:textId="6875C9C7" w:rsidR="00A42147" w:rsidRPr="00DF7267" w:rsidRDefault="00A42147" w:rsidP="00A4214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9" w:lineRule="exact"/>
        <w:rPr>
          <w:rFonts w:ascii="Arial" w:hAnsi="Arial" w:cs="Arial"/>
          <w:color w:val="000000"/>
          <w:sz w:val="24"/>
          <w:szCs w:val="24"/>
        </w:rPr>
      </w:pPr>
      <w:r w:rsidRPr="00DF7267">
        <w:rPr>
          <w:rFonts w:ascii="Arial" w:hAnsi="Arial" w:cs="Arial"/>
          <w:color w:val="000000"/>
          <w:sz w:val="24"/>
          <w:szCs w:val="24"/>
        </w:rPr>
        <w:t xml:space="preserve">Ensure that ICT </w:t>
      </w:r>
      <w:r w:rsidR="00DF7267">
        <w:rPr>
          <w:rFonts w:ascii="Arial" w:hAnsi="Arial" w:cs="Arial"/>
          <w:color w:val="000000"/>
          <w:sz w:val="24"/>
          <w:szCs w:val="24"/>
        </w:rPr>
        <w:t>P</w:t>
      </w:r>
      <w:r w:rsidRPr="00DF7267">
        <w:rPr>
          <w:rFonts w:ascii="Arial" w:hAnsi="Arial" w:cs="Arial"/>
          <w:color w:val="000000"/>
          <w:sz w:val="24"/>
          <w:szCs w:val="24"/>
        </w:rPr>
        <w:t xml:space="preserve">rinciples, </w:t>
      </w:r>
      <w:r w:rsidR="00DF7267">
        <w:rPr>
          <w:rFonts w:ascii="Arial" w:hAnsi="Arial" w:cs="Arial"/>
          <w:color w:val="000000"/>
          <w:sz w:val="24"/>
          <w:szCs w:val="24"/>
        </w:rPr>
        <w:t>P</w:t>
      </w:r>
      <w:r w:rsidRPr="00DF7267">
        <w:rPr>
          <w:rFonts w:ascii="Arial" w:hAnsi="Arial" w:cs="Arial"/>
          <w:color w:val="000000"/>
          <w:sz w:val="24"/>
          <w:szCs w:val="24"/>
        </w:rPr>
        <w:t xml:space="preserve">olicies, </w:t>
      </w:r>
      <w:r w:rsidR="00DF7267">
        <w:rPr>
          <w:rFonts w:ascii="Arial" w:hAnsi="Arial" w:cs="Arial"/>
          <w:color w:val="000000"/>
          <w:sz w:val="24"/>
          <w:szCs w:val="24"/>
        </w:rPr>
        <w:t>P</w:t>
      </w:r>
      <w:r w:rsidR="00DF7267" w:rsidRPr="00DF7267">
        <w:rPr>
          <w:rFonts w:ascii="Arial" w:hAnsi="Arial" w:cs="Arial"/>
          <w:color w:val="000000"/>
          <w:sz w:val="24"/>
          <w:szCs w:val="24"/>
        </w:rPr>
        <w:t>rocedures,</w:t>
      </w:r>
      <w:r w:rsidRPr="00DF7267">
        <w:rPr>
          <w:rFonts w:ascii="Arial" w:hAnsi="Arial" w:cs="Arial"/>
          <w:color w:val="000000"/>
          <w:sz w:val="24"/>
          <w:szCs w:val="24"/>
        </w:rPr>
        <w:t xml:space="preserve"> and </w:t>
      </w:r>
      <w:r w:rsidR="00DF7267">
        <w:rPr>
          <w:rFonts w:ascii="Arial" w:hAnsi="Arial" w:cs="Arial"/>
          <w:color w:val="000000"/>
          <w:sz w:val="24"/>
          <w:szCs w:val="24"/>
        </w:rPr>
        <w:t>S</w:t>
      </w:r>
      <w:r w:rsidRPr="00DF7267">
        <w:rPr>
          <w:rFonts w:ascii="Arial" w:hAnsi="Arial" w:cs="Arial"/>
          <w:color w:val="000000"/>
          <w:sz w:val="24"/>
          <w:szCs w:val="24"/>
        </w:rPr>
        <w:t xml:space="preserve">tandards are </w:t>
      </w:r>
      <w:r w:rsidRPr="00DF7267">
        <w:rPr>
          <w:rFonts w:ascii="Arial" w:hAnsi="Arial" w:cs="Arial"/>
          <w:color w:val="000000"/>
          <w:sz w:val="24"/>
          <w:szCs w:val="24"/>
        </w:rPr>
        <w:t xml:space="preserve">defined, </w:t>
      </w:r>
    </w:p>
    <w:p w14:paraId="6B1A0341" w14:textId="6B31599E" w:rsidR="00A42147" w:rsidRPr="00DF7267" w:rsidRDefault="00A42147" w:rsidP="00A42147">
      <w:pPr>
        <w:pStyle w:val="ListParagraph"/>
        <w:rPr>
          <w:rFonts w:ascii="Arial" w:hAnsi="Arial" w:cs="Arial"/>
          <w:color w:val="000000"/>
          <w:sz w:val="24"/>
          <w:szCs w:val="24"/>
        </w:rPr>
      </w:pPr>
      <w:r w:rsidRPr="00DF7267">
        <w:rPr>
          <w:rFonts w:ascii="Arial" w:hAnsi="Arial" w:cs="Arial"/>
          <w:color w:val="000000"/>
          <w:sz w:val="24"/>
          <w:szCs w:val="24"/>
        </w:rPr>
        <w:t>i</w:t>
      </w:r>
      <w:r w:rsidRPr="00DF7267">
        <w:rPr>
          <w:rFonts w:ascii="Arial" w:hAnsi="Arial" w:cs="Arial"/>
          <w:color w:val="000000"/>
          <w:sz w:val="24"/>
          <w:szCs w:val="24"/>
        </w:rPr>
        <w:t>mplemented</w:t>
      </w:r>
      <w:r w:rsidRPr="00DF7267">
        <w:rPr>
          <w:rFonts w:ascii="Arial" w:hAnsi="Arial" w:cs="Arial"/>
          <w:color w:val="000000"/>
          <w:sz w:val="24"/>
          <w:szCs w:val="24"/>
        </w:rPr>
        <w:t xml:space="preserve"> and approved.</w:t>
      </w:r>
    </w:p>
    <w:p w14:paraId="663A1AE7" w14:textId="77777777" w:rsidR="00A42147" w:rsidRPr="00DF7267" w:rsidRDefault="00A42147" w:rsidP="00A4214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7267">
        <w:rPr>
          <w:rFonts w:ascii="Arial" w:hAnsi="Arial" w:cs="Arial"/>
          <w:color w:val="000000"/>
          <w:sz w:val="24"/>
          <w:szCs w:val="24"/>
        </w:rPr>
        <w:t>Ensure that the municipality has adequate business resilience arrangements in</w:t>
      </w:r>
    </w:p>
    <w:p w14:paraId="5F47F2CA" w14:textId="065CB9FD" w:rsidR="00A42147" w:rsidRPr="00DF7267" w:rsidRDefault="00A42147" w:rsidP="00A42147">
      <w:pPr>
        <w:pStyle w:val="ListParagraph"/>
        <w:rPr>
          <w:rFonts w:ascii="Arial" w:hAnsi="Arial" w:cs="Arial"/>
          <w:color w:val="000000"/>
          <w:sz w:val="24"/>
          <w:szCs w:val="24"/>
        </w:rPr>
      </w:pPr>
      <w:r w:rsidRPr="00DF7267">
        <w:rPr>
          <w:rFonts w:ascii="Arial" w:hAnsi="Arial" w:cs="Arial"/>
          <w:color w:val="000000"/>
          <w:sz w:val="24"/>
          <w:szCs w:val="24"/>
        </w:rPr>
        <w:t xml:space="preserve">place for ICT </w:t>
      </w:r>
      <w:r w:rsidR="00DF7267">
        <w:rPr>
          <w:rFonts w:ascii="Arial" w:hAnsi="Arial" w:cs="Arial"/>
          <w:color w:val="000000"/>
          <w:sz w:val="24"/>
          <w:szCs w:val="24"/>
        </w:rPr>
        <w:t>D</w:t>
      </w:r>
      <w:r w:rsidRPr="00DF7267">
        <w:rPr>
          <w:rFonts w:ascii="Arial" w:hAnsi="Arial" w:cs="Arial"/>
          <w:color w:val="000000"/>
          <w:sz w:val="24"/>
          <w:szCs w:val="24"/>
        </w:rPr>
        <w:t xml:space="preserve">isaster </w:t>
      </w:r>
      <w:r w:rsidR="00DF7267">
        <w:rPr>
          <w:rFonts w:ascii="Arial" w:hAnsi="Arial" w:cs="Arial"/>
          <w:color w:val="000000"/>
          <w:sz w:val="24"/>
          <w:szCs w:val="24"/>
        </w:rPr>
        <w:t>R</w:t>
      </w:r>
      <w:r w:rsidRPr="00DF7267">
        <w:rPr>
          <w:rFonts w:ascii="Arial" w:hAnsi="Arial" w:cs="Arial"/>
          <w:color w:val="000000"/>
          <w:sz w:val="24"/>
          <w:szCs w:val="24"/>
        </w:rPr>
        <w:t>ecovery</w:t>
      </w:r>
      <w:r w:rsidRPr="00DF7267">
        <w:rPr>
          <w:rFonts w:ascii="Arial" w:hAnsi="Arial" w:cs="Arial"/>
          <w:color w:val="000000"/>
          <w:sz w:val="24"/>
          <w:szCs w:val="24"/>
        </w:rPr>
        <w:t>.</w:t>
      </w:r>
    </w:p>
    <w:p w14:paraId="5AC40D55" w14:textId="77777777" w:rsidR="00A42147" w:rsidRPr="00DF7267" w:rsidRDefault="00A42147" w:rsidP="00A4214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7267">
        <w:rPr>
          <w:rFonts w:ascii="Arial" w:hAnsi="Arial" w:cs="Arial"/>
          <w:color w:val="000000"/>
          <w:sz w:val="24"/>
          <w:szCs w:val="24"/>
        </w:rPr>
        <w:t>Ensure that appropriate processes are followed for the identification,</w:t>
      </w:r>
    </w:p>
    <w:p w14:paraId="2C6FDED3" w14:textId="3712F091" w:rsidR="00A42147" w:rsidRPr="00DF7267" w:rsidRDefault="00A42147" w:rsidP="00A42147">
      <w:pPr>
        <w:pStyle w:val="ListParagraph"/>
        <w:rPr>
          <w:rFonts w:ascii="Arial" w:hAnsi="Arial" w:cs="Arial"/>
          <w:color w:val="000000"/>
          <w:sz w:val="24"/>
          <w:szCs w:val="24"/>
        </w:rPr>
      </w:pPr>
      <w:r w:rsidRPr="00DF7267">
        <w:rPr>
          <w:rFonts w:ascii="Arial" w:hAnsi="Arial" w:cs="Arial"/>
          <w:color w:val="000000"/>
          <w:sz w:val="24"/>
          <w:szCs w:val="24"/>
        </w:rPr>
        <w:t>assessment and management of ICT Risks</w:t>
      </w:r>
      <w:r w:rsidRPr="00DF7267">
        <w:rPr>
          <w:rFonts w:ascii="Arial" w:hAnsi="Arial" w:cs="Arial"/>
          <w:color w:val="000000"/>
          <w:sz w:val="24"/>
          <w:szCs w:val="24"/>
        </w:rPr>
        <w:t>.</w:t>
      </w:r>
    </w:p>
    <w:p w14:paraId="113A12F5" w14:textId="77777777" w:rsidR="00A42147" w:rsidRPr="00DF7267" w:rsidRDefault="00A42147" w:rsidP="00A4214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DF7267">
        <w:rPr>
          <w:rFonts w:ascii="Arial" w:hAnsi="Arial" w:cs="Arial"/>
          <w:color w:val="000000"/>
          <w:sz w:val="24"/>
          <w:szCs w:val="24"/>
        </w:rPr>
        <w:t xml:space="preserve">Ensure that a process is in place to identify and position strategic ICT </w:t>
      </w:r>
      <w:r w:rsidRPr="00DF7267">
        <w:rPr>
          <w:rFonts w:ascii="Arial" w:hAnsi="Arial" w:cs="Arial"/>
          <w:color w:val="000000"/>
          <w:sz w:val="24"/>
          <w:szCs w:val="24"/>
        </w:rPr>
        <w:t xml:space="preserve">initiatives </w:t>
      </w:r>
      <w:r w:rsidRPr="00DF7267">
        <w:rPr>
          <w:rFonts w:ascii="Arial" w:hAnsi="Arial" w:cs="Arial"/>
          <w:color w:val="000000"/>
          <w:sz w:val="24"/>
          <w:szCs w:val="24"/>
        </w:rPr>
        <w:t>and services which will best contribute to the achievement of municipal objectives and are agile and adaptive enough to support changes in the municipal strategy</w:t>
      </w:r>
      <w:r w:rsidRPr="00DF7267">
        <w:rPr>
          <w:rFonts w:ascii="Arial" w:hAnsi="Arial" w:cs="Arial"/>
          <w:color w:val="000000"/>
          <w:sz w:val="24"/>
          <w:szCs w:val="24"/>
        </w:rPr>
        <w:t>.</w:t>
      </w:r>
    </w:p>
    <w:p w14:paraId="709B87E1" w14:textId="73DA1A91" w:rsidR="00A42147" w:rsidRPr="00DF7267" w:rsidRDefault="00A42147" w:rsidP="00A4214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DF7267">
        <w:rPr>
          <w:rFonts w:ascii="Arial" w:hAnsi="Arial" w:cs="Arial"/>
          <w:color w:val="000000"/>
          <w:sz w:val="24"/>
          <w:szCs w:val="24"/>
        </w:rPr>
        <w:t xml:space="preserve">Review and approve major decisions relating to General ICT Management and </w:t>
      </w:r>
    </w:p>
    <w:p w14:paraId="4F52407D" w14:textId="77777777" w:rsidR="00A42147" w:rsidRPr="00DF7267" w:rsidRDefault="00A42147" w:rsidP="00A42147">
      <w:pPr>
        <w:widowControl w:val="0"/>
        <w:autoSpaceDE w:val="0"/>
        <w:autoSpaceDN w:val="0"/>
        <w:adjustRightInd w:val="0"/>
        <w:spacing w:after="0" w:line="360" w:lineRule="auto"/>
        <w:ind w:left="716"/>
        <w:jc w:val="both"/>
        <w:rPr>
          <w:rFonts w:ascii="Arial" w:hAnsi="Arial" w:cs="Arial"/>
          <w:color w:val="000000"/>
          <w:sz w:val="24"/>
          <w:szCs w:val="24"/>
        </w:rPr>
      </w:pPr>
      <w:r w:rsidRPr="00DF7267">
        <w:rPr>
          <w:rFonts w:ascii="Arial" w:hAnsi="Arial" w:cs="Arial"/>
          <w:color w:val="000000"/>
          <w:sz w:val="24"/>
          <w:szCs w:val="24"/>
        </w:rPr>
        <w:t>Administration, these include ICT human resources, ICT financial management and marketing of ICT services to the other business units (business relationship management).</w:t>
      </w:r>
    </w:p>
    <w:p w14:paraId="325FC755" w14:textId="0ED3B3AC" w:rsidR="00A42147" w:rsidRPr="00DF7267" w:rsidRDefault="00A42147" w:rsidP="00A4214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DF7267">
        <w:rPr>
          <w:rFonts w:ascii="Arial" w:hAnsi="Arial" w:cs="Arial"/>
          <w:color w:val="000000"/>
          <w:sz w:val="24"/>
          <w:szCs w:val="24"/>
        </w:rPr>
        <w:t>Ensure research and innovation in terms of ICT trends and emerging technologies are performed</w:t>
      </w:r>
      <w:r w:rsidRPr="00DF7267">
        <w:rPr>
          <w:rFonts w:ascii="Arial" w:hAnsi="Arial" w:cs="Arial"/>
          <w:color w:val="000000"/>
          <w:sz w:val="24"/>
          <w:szCs w:val="24"/>
        </w:rPr>
        <w:t>.</w:t>
      </w:r>
    </w:p>
    <w:p w14:paraId="6AA07B0A" w14:textId="68AF3A8E" w:rsidR="00A42147" w:rsidRPr="00DF7267" w:rsidRDefault="00A42147" w:rsidP="00A4214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DF7267">
        <w:rPr>
          <w:rFonts w:ascii="Arial" w:hAnsi="Arial" w:cs="Arial"/>
          <w:color w:val="000000"/>
          <w:sz w:val="24"/>
          <w:szCs w:val="24"/>
        </w:rPr>
        <w:t>Review and approve major decisions affecting application management</w:t>
      </w:r>
      <w:r w:rsidRPr="00DF7267">
        <w:rPr>
          <w:rFonts w:ascii="Arial" w:hAnsi="Arial" w:cs="Arial"/>
          <w:color w:val="000000"/>
          <w:sz w:val="24"/>
          <w:szCs w:val="24"/>
        </w:rPr>
        <w:t>.</w:t>
      </w:r>
    </w:p>
    <w:p w14:paraId="25664E10" w14:textId="336215B7" w:rsidR="00A42147" w:rsidRPr="00DF7267" w:rsidRDefault="00A42147" w:rsidP="00A4214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DF7267">
        <w:rPr>
          <w:rFonts w:ascii="Arial" w:hAnsi="Arial" w:cs="Arial"/>
          <w:color w:val="000000"/>
          <w:sz w:val="24"/>
          <w:szCs w:val="24"/>
        </w:rPr>
        <w:t>Review and approve major decisions affecting ICT operations</w:t>
      </w:r>
      <w:r w:rsidRPr="00DF7267">
        <w:rPr>
          <w:rFonts w:ascii="Arial" w:hAnsi="Arial" w:cs="Arial"/>
          <w:color w:val="000000"/>
          <w:sz w:val="24"/>
          <w:szCs w:val="24"/>
        </w:rPr>
        <w:t>.</w:t>
      </w:r>
    </w:p>
    <w:p w14:paraId="54E7DBB4" w14:textId="59E4620F" w:rsidR="00A42147" w:rsidRPr="00DF7267" w:rsidRDefault="00A42147" w:rsidP="00A4214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DF7267">
        <w:rPr>
          <w:rFonts w:ascii="Arial" w:hAnsi="Arial" w:cs="Arial"/>
          <w:color w:val="000000"/>
          <w:sz w:val="24"/>
          <w:szCs w:val="24"/>
        </w:rPr>
        <w:t>Ensure the implementation of good governance principles to be applied for the acquisition of ICT goods and services</w:t>
      </w:r>
      <w:r w:rsidRPr="00DF7267">
        <w:rPr>
          <w:rFonts w:ascii="Arial" w:hAnsi="Arial" w:cs="Arial"/>
          <w:color w:val="000000"/>
          <w:sz w:val="24"/>
          <w:szCs w:val="24"/>
        </w:rPr>
        <w:t>.</w:t>
      </w:r>
    </w:p>
    <w:p w14:paraId="2992BC0E" w14:textId="6E87763E" w:rsidR="00A42147" w:rsidRPr="00DF7267" w:rsidRDefault="00A42147" w:rsidP="00A4214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DF7267">
        <w:rPr>
          <w:rFonts w:ascii="Arial" w:hAnsi="Arial" w:cs="Arial"/>
          <w:color w:val="000000"/>
          <w:sz w:val="24"/>
          <w:szCs w:val="24"/>
        </w:rPr>
        <w:t>Ensure that appropriate project management principles and frameworks are applied to all significant projects</w:t>
      </w:r>
      <w:r w:rsidRPr="00DF7267">
        <w:rPr>
          <w:rFonts w:ascii="Arial" w:hAnsi="Arial" w:cs="Arial"/>
          <w:color w:val="000000"/>
          <w:sz w:val="24"/>
          <w:szCs w:val="24"/>
        </w:rPr>
        <w:t>.</w:t>
      </w:r>
    </w:p>
    <w:p w14:paraId="5DD0098E" w14:textId="649075CD" w:rsidR="00A42147" w:rsidRPr="00DF7267" w:rsidRDefault="00A42147" w:rsidP="00A4214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DF7267">
        <w:rPr>
          <w:rFonts w:ascii="Arial" w:hAnsi="Arial" w:cs="Arial"/>
          <w:color w:val="000000"/>
          <w:sz w:val="24"/>
          <w:szCs w:val="24"/>
        </w:rPr>
        <w:t xml:space="preserve">Ensure compliance with ICT Security related laws and related rules, </w:t>
      </w:r>
      <w:r w:rsidR="00DF7267" w:rsidRPr="00DF7267">
        <w:rPr>
          <w:rFonts w:ascii="Arial" w:hAnsi="Arial" w:cs="Arial"/>
          <w:color w:val="000000"/>
          <w:sz w:val="24"/>
          <w:szCs w:val="24"/>
        </w:rPr>
        <w:t>codes,</w:t>
      </w:r>
      <w:r w:rsidRPr="00DF7267">
        <w:rPr>
          <w:rFonts w:ascii="Arial" w:hAnsi="Arial" w:cs="Arial"/>
          <w:color w:val="000000"/>
          <w:sz w:val="24"/>
          <w:szCs w:val="24"/>
        </w:rPr>
        <w:t xml:space="preserve"> and standards</w:t>
      </w:r>
      <w:r w:rsidRPr="00DF7267">
        <w:rPr>
          <w:rFonts w:ascii="Arial" w:hAnsi="Arial" w:cs="Arial"/>
          <w:color w:val="000000"/>
          <w:sz w:val="24"/>
          <w:szCs w:val="24"/>
        </w:rPr>
        <w:t>.</w:t>
      </w:r>
    </w:p>
    <w:p w14:paraId="594FF330" w14:textId="77777777" w:rsidR="00A42147" w:rsidRDefault="00A42147" w:rsidP="00A42147">
      <w:pPr>
        <w:pStyle w:val="ListParagraph"/>
      </w:pPr>
    </w:p>
    <w:sectPr w:rsidR="00A42147" w:rsidSect="00DF7267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07D"/>
    <w:multiLevelType w:val="hybridMultilevel"/>
    <w:tmpl w:val="DC9CD9FE"/>
    <w:lvl w:ilvl="0" w:tplc="CA9C6C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55CA6"/>
    <w:multiLevelType w:val="hybridMultilevel"/>
    <w:tmpl w:val="0BECDB18"/>
    <w:lvl w:ilvl="0" w:tplc="1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2583394E"/>
    <w:multiLevelType w:val="hybridMultilevel"/>
    <w:tmpl w:val="2D2A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50381"/>
    <w:multiLevelType w:val="hybridMultilevel"/>
    <w:tmpl w:val="FD7C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322D4"/>
    <w:multiLevelType w:val="hybridMultilevel"/>
    <w:tmpl w:val="54720776"/>
    <w:lvl w:ilvl="0" w:tplc="1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4F2F0C96"/>
    <w:multiLevelType w:val="hybridMultilevel"/>
    <w:tmpl w:val="1F986F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56554"/>
    <w:multiLevelType w:val="hybridMultilevel"/>
    <w:tmpl w:val="46B279FE"/>
    <w:lvl w:ilvl="0" w:tplc="1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 w15:restartNumberingAfterBreak="0">
    <w:nsid w:val="72212C17"/>
    <w:multiLevelType w:val="hybridMultilevel"/>
    <w:tmpl w:val="4F62BFAE"/>
    <w:lvl w:ilvl="0" w:tplc="040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num w:numId="1" w16cid:durableId="1912033019">
    <w:abstractNumId w:val="3"/>
  </w:num>
  <w:num w:numId="2" w16cid:durableId="1857499990">
    <w:abstractNumId w:val="2"/>
  </w:num>
  <w:num w:numId="3" w16cid:durableId="2094204744">
    <w:abstractNumId w:val="0"/>
  </w:num>
  <w:num w:numId="4" w16cid:durableId="1945570928">
    <w:abstractNumId w:val="4"/>
  </w:num>
  <w:num w:numId="5" w16cid:durableId="1335916365">
    <w:abstractNumId w:val="5"/>
  </w:num>
  <w:num w:numId="6" w16cid:durableId="1992247696">
    <w:abstractNumId w:val="1"/>
  </w:num>
  <w:num w:numId="7" w16cid:durableId="518279049">
    <w:abstractNumId w:val="6"/>
  </w:num>
  <w:num w:numId="8" w16cid:durableId="455955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47"/>
    <w:rsid w:val="00A035BD"/>
    <w:rsid w:val="00A42147"/>
    <w:rsid w:val="00D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9A3F"/>
  <w15:chartTrackingRefBased/>
  <w15:docId w15:val="{8922FA6D-5D1C-4D4F-B59D-65571E00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42147"/>
    <w:pPr>
      <w:keepNext/>
      <w:shd w:val="clear" w:color="auto" w:fill="0000FF"/>
      <w:spacing w:before="240" w:after="120" w:line="276" w:lineRule="auto"/>
      <w:jc w:val="center"/>
      <w:outlineLvl w:val="0"/>
    </w:pPr>
    <w:rPr>
      <w:rFonts w:ascii="Arial" w:eastAsia="MS Mincho" w:hAnsi="Arial" w:cs="Times New Roman"/>
      <w:b/>
      <w:bCs/>
      <w:sz w:val="26"/>
      <w:szCs w:val="32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1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42147"/>
    <w:rPr>
      <w:rFonts w:ascii="Arial" w:eastAsia="MS Mincho" w:hAnsi="Arial" w:cs="Times New Roman"/>
      <w:b/>
      <w:bCs/>
      <w:sz w:val="26"/>
      <w:szCs w:val="32"/>
      <w:shd w:val="clear" w:color="auto" w:fill="0000FF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Bafana Sindane</dc:creator>
  <cp:keywords/>
  <dc:description/>
  <cp:lastModifiedBy>Bafana Sindane</cp:lastModifiedBy>
  <cp:revision>1</cp:revision>
  <dcterms:created xsi:type="dcterms:W3CDTF">2023-01-27T08:49:00Z</dcterms:created>
  <dcterms:modified xsi:type="dcterms:W3CDTF">2023-01-27T09:02:00Z</dcterms:modified>
</cp:coreProperties>
</file>