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85A5" w14:textId="7B7BCFAE" w:rsidR="00A035BD" w:rsidRPr="00DA058D" w:rsidRDefault="00A42147">
      <w:pPr>
        <w:rPr>
          <w:rFonts w:ascii="Tahoma" w:hAnsi="Tahoma" w:cs="Tahoma"/>
          <w:b/>
          <w:bCs/>
          <w:sz w:val="28"/>
          <w:szCs w:val="28"/>
        </w:rPr>
      </w:pPr>
      <w:r w:rsidRPr="00DA058D">
        <w:rPr>
          <w:rFonts w:ascii="Tahoma" w:hAnsi="Tahoma" w:cs="Tahoma"/>
          <w:b/>
          <w:bCs/>
          <w:sz w:val="28"/>
          <w:szCs w:val="28"/>
        </w:rPr>
        <w:t>Members of the</w:t>
      </w:r>
      <w:r w:rsidR="00DA058D" w:rsidRPr="00DA058D">
        <w:rPr>
          <w:rFonts w:ascii="Tahoma" w:hAnsi="Tahoma" w:cs="Tahoma"/>
          <w:b/>
          <w:bCs/>
          <w:sz w:val="28"/>
          <w:szCs w:val="28"/>
        </w:rPr>
        <w:t xml:space="preserve"> Shared Audit Committee </w:t>
      </w:r>
    </w:p>
    <w:p w14:paraId="79CBCED8" w14:textId="599BF056" w:rsidR="00CC2D40" w:rsidRPr="00DA058D" w:rsidRDefault="00A42147"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The </w:t>
      </w:r>
      <w:r w:rsidRPr="00DA058D">
        <w:rPr>
          <w:rFonts w:ascii="Tahoma" w:hAnsi="Tahoma" w:cs="Tahoma"/>
          <w:bCs/>
          <w:sz w:val="24"/>
          <w:szCs w:val="24"/>
        </w:rPr>
        <w:t>External</w:t>
      </w:r>
      <w:r w:rsidRPr="00DA058D">
        <w:rPr>
          <w:rFonts w:ascii="Tahoma" w:hAnsi="Tahoma" w:cs="Tahoma"/>
          <w:bCs/>
          <w:color w:val="FF0000"/>
          <w:sz w:val="24"/>
          <w:szCs w:val="24"/>
        </w:rPr>
        <w:t xml:space="preserve"> </w:t>
      </w:r>
      <w:r w:rsidRPr="00DA058D">
        <w:rPr>
          <w:rFonts w:ascii="Tahoma" w:hAnsi="Tahoma" w:cs="Tahoma"/>
          <w:bCs/>
          <w:color w:val="000000"/>
          <w:sz w:val="24"/>
          <w:szCs w:val="24"/>
        </w:rPr>
        <w:t>Chairperson.</w:t>
      </w:r>
    </w:p>
    <w:p w14:paraId="4E5FEB48" w14:textId="7D5003AC"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Audit Committee member X4</w:t>
      </w:r>
    </w:p>
    <w:p w14:paraId="01A9D23A" w14:textId="1918D929"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The Municipal Manager </w:t>
      </w:r>
    </w:p>
    <w:p w14:paraId="79E74DB9" w14:textId="53DC960C"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Chief Financial Officer</w:t>
      </w:r>
    </w:p>
    <w:p w14:paraId="683A0894" w14:textId="77777777"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Executive Manager: </w:t>
      </w:r>
      <w:r w:rsidRPr="00DA058D">
        <w:rPr>
          <w:rFonts w:ascii="Tahoma" w:hAnsi="Tahoma" w:cs="Tahoma"/>
          <w:bCs/>
          <w:color w:val="000000"/>
          <w:sz w:val="24"/>
          <w:szCs w:val="24"/>
        </w:rPr>
        <w:t>Admin &amp; Corporate Services</w:t>
      </w:r>
    </w:p>
    <w:p w14:paraId="54C3A0E7" w14:textId="14B9E365"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Executive Manager: </w:t>
      </w:r>
      <w:r w:rsidRPr="00DA058D">
        <w:rPr>
          <w:rFonts w:ascii="Tahoma" w:hAnsi="Tahoma" w:cs="Tahoma"/>
          <w:bCs/>
          <w:color w:val="000000"/>
          <w:sz w:val="24"/>
          <w:szCs w:val="24"/>
        </w:rPr>
        <w:t>Technical Services</w:t>
      </w:r>
    </w:p>
    <w:p w14:paraId="7000A817" w14:textId="20195033"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Executive Manager: </w:t>
      </w:r>
      <w:r w:rsidRPr="00DA058D">
        <w:rPr>
          <w:rFonts w:ascii="Tahoma" w:hAnsi="Tahoma" w:cs="Tahoma"/>
          <w:bCs/>
          <w:color w:val="000000"/>
          <w:sz w:val="24"/>
          <w:szCs w:val="24"/>
        </w:rPr>
        <w:t>Community Services</w:t>
      </w:r>
    </w:p>
    <w:p w14:paraId="24A9903A" w14:textId="0BCC622B" w:rsidR="00CC2D40" w:rsidRPr="00DA058D" w:rsidRDefault="00CC2D40" w:rsidP="00CC2D40">
      <w:pPr>
        <w:pStyle w:val="ListParagraph"/>
        <w:widowControl w:val="0"/>
        <w:numPr>
          <w:ilvl w:val="0"/>
          <w:numId w:val="1"/>
        </w:numPr>
        <w:autoSpaceDE w:val="0"/>
        <w:autoSpaceDN w:val="0"/>
        <w:adjustRightInd w:val="0"/>
        <w:spacing w:after="0" w:line="292" w:lineRule="exact"/>
        <w:rPr>
          <w:rFonts w:ascii="Tahoma" w:hAnsi="Tahoma" w:cs="Tahoma"/>
          <w:bCs/>
          <w:color w:val="000000"/>
          <w:sz w:val="24"/>
          <w:szCs w:val="24"/>
        </w:rPr>
      </w:pPr>
      <w:r w:rsidRPr="00DA058D">
        <w:rPr>
          <w:rFonts w:ascii="Tahoma" w:hAnsi="Tahoma" w:cs="Tahoma"/>
          <w:bCs/>
          <w:color w:val="000000"/>
          <w:sz w:val="24"/>
          <w:szCs w:val="24"/>
        </w:rPr>
        <w:t xml:space="preserve">All the Managers within the Municipality </w:t>
      </w:r>
    </w:p>
    <w:p w14:paraId="21455EBC" w14:textId="77777777" w:rsidR="00CC2D40" w:rsidRPr="00DA058D" w:rsidRDefault="00CC2D40" w:rsidP="00CC2D40">
      <w:pPr>
        <w:widowControl w:val="0"/>
        <w:autoSpaceDE w:val="0"/>
        <w:autoSpaceDN w:val="0"/>
        <w:adjustRightInd w:val="0"/>
        <w:spacing w:after="0" w:line="292" w:lineRule="exact"/>
        <w:rPr>
          <w:rFonts w:ascii="Tahoma" w:hAnsi="Tahoma" w:cs="Tahoma"/>
          <w:color w:val="000000"/>
          <w:sz w:val="28"/>
          <w:szCs w:val="28"/>
        </w:rPr>
      </w:pPr>
    </w:p>
    <w:p w14:paraId="1ED4D1B4" w14:textId="77777777" w:rsidR="00DA058D" w:rsidRPr="00DA058D" w:rsidRDefault="00DA058D" w:rsidP="00DF7267">
      <w:pPr>
        <w:widowControl w:val="0"/>
        <w:autoSpaceDE w:val="0"/>
        <w:autoSpaceDN w:val="0"/>
        <w:adjustRightInd w:val="0"/>
        <w:spacing w:after="0" w:line="292" w:lineRule="exact"/>
        <w:rPr>
          <w:rFonts w:ascii="Tahoma" w:hAnsi="Tahoma" w:cs="Tahoma"/>
          <w:b/>
          <w:color w:val="000000"/>
          <w:sz w:val="28"/>
          <w:szCs w:val="28"/>
        </w:rPr>
      </w:pPr>
    </w:p>
    <w:p w14:paraId="36E98AC9" w14:textId="6B6F1065" w:rsidR="00A42147" w:rsidRPr="00DA058D" w:rsidRDefault="00A42147" w:rsidP="00DF7267">
      <w:pPr>
        <w:widowControl w:val="0"/>
        <w:autoSpaceDE w:val="0"/>
        <w:autoSpaceDN w:val="0"/>
        <w:adjustRightInd w:val="0"/>
        <w:spacing w:after="0" w:line="292" w:lineRule="exact"/>
        <w:rPr>
          <w:rFonts w:ascii="Tahoma" w:hAnsi="Tahoma" w:cs="Tahoma"/>
          <w:b/>
          <w:color w:val="000000"/>
          <w:sz w:val="28"/>
          <w:szCs w:val="28"/>
        </w:rPr>
      </w:pPr>
      <w:r w:rsidRPr="00DA058D">
        <w:rPr>
          <w:rFonts w:ascii="Tahoma" w:hAnsi="Tahoma" w:cs="Tahoma"/>
          <w:b/>
          <w:color w:val="000000"/>
          <w:sz w:val="28"/>
          <w:szCs w:val="28"/>
        </w:rPr>
        <w:t>Roles and Responsibilities</w:t>
      </w:r>
    </w:p>
    <w:p w14:paraId="5259BCF1" w14:textId="57B250A7" w:rsidR="00073BE9" w:rsidRPr="00DA058D" w:rsidRDefault="00073BE9" w:rsidP="00DF7267">
      <w:pPr>
        <w:widowControl w:val="0"/>
        <w:autoSpaceDE w:val="0"/>
        <w:autoSpaceDN w:val="0"/>
        <w:adjustRightInd w:val="0"/>
        <w:spacing w:after="0" w:line="292" w:lineRule="exact"/>
        <w:rPr>
          <w:rFonts w:ascii="Tahoma" w:hAnsi="Tahoma" w:cs="Tahoma"/>
          <w:b/>
          <w:color w:val="000000"/>
          <w:sz w:val="24"/>
          <w:szCs w:val="24"/>
        </w:rPr>
      </w:pPr>
    </w:p>
    <w:p w14:paraId="547E2098" w14:textId="38929131" w:rsidR="00073BE9" w:rsidRPr="00DA058D" w:rsidRDefault="00073BE9" w:rsidP="00916ADC">
      <w:pPr>
        <w:spacing w:after="0" w:line="240" w:lineRule="auto"/>
        <w:jc w:val="both"/>
        <w:rPr>
          <w:rFonts w:ascii="Tahoma" w:hAnsi="Tahoma" w:cs="Tahoma"/>
          <w:b/>
        </w:rPr>
      </w:pPr>
      <w:r w:rsidRPr="00DA058D">
        <w:rPr>
          <w:rFonts w:ascii="Tahoma" w:hAnsi="Tahoma" w:cs="Tahoma"/>
          <w:b/>
        </w:rPr>
        <w:t>Review of Audited Annual Financial Statements (AFS)</w:t>
      </w:r>
    </w:p>
    <w:p w14:paraId="05B53765" w14:textId="77777777" w:rsidR="00073BE9" w:rsidRPr="00DA058D" w:rsidRDefault="00073BE9" w:rsidP="00073BE9">
      <w:pPr>
        <w:jc w:val="both"/>
        <w:rPr>
          <w:rFonts w:ascii="Tahoma" w:hAnsi="Tahoma" w:cs="Tahoma"/>
          <w:b/>
        </w:rPr>
      </w:pPr>
    </w:p>
    <w:p w14:paraId="141ADECF"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 xml:space="preserve">Inspect and confirm that the AFS have been signed by the Accounting Officer on or before the Audit Committee </w:t>
      </w:r>
      <w:proofErr w:type="gramStart"/>
      <w:r w:rsidRPr="00DA058D">
        <w:rPr>
          <w:rFonts w:ascii="Tahoma" w:hAnsi="Tahoma" w:cs="Tahoma"/>
        </w:rPr>
        <w:t>Report;</w:t>
      </w:r>
      <w:proofErr w:type="gramEnd"/>
    </w:p>
    <w:p w14:paraId="65E258C1"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Enquire from Accounting Officer if the AFS have been prepared in accordance with Generally Recognized Accounting Practice (GRAP) as prescribed by the Treasury Regulations and the preparation guide by National Treasury;</w:t>
      </w:r>
    </w:p>
    <w:p w14:paraId="3773CEBD"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 xml:space="preserve">Evaluate and review the accounting practices in </w:t>
      </w:r>
      <w:proofErr w:type="gramStart"/>
      <w:r w:rsidRPr="00DA058D">
        <w:rPr>
          <w:rFonts w:ascii="Tahoma" w:hAnsi="Tahoma" w:cs="Tahoma"/>
        </w:rPr>
        <w:t>place;</w:t>
      </w:r>
      <w:proofErr w:type="gramEnd"/>
    </w:p>
    <w:p w14:paraId="70CEEE57"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 xml:space="preserve">Review AFS for abnormal and/or significant variances in the financial statements as compared to the appropriated budget and prior </w:t>
      </w:r>
      <w:proofErr w:type="gramStart"/>
      <w:r w:rsidRPr="00DA058D">
        <w:rPr>
          <w:rFonts w:ascii="Tahoma" w:hAnsi="Tahoma" w:cs="Tahoma"/>
        </w:rPr>
        <w:t>year;</w:t>
      </w:r>
      <w:proofErr w:type="gramEnd"/>
    </w:p>
    <w:p w14:paraId="4D9A7CF6"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 xml:space="preserve">Review any new or proposed legislation that may </w:t>
      </w:r>
      <w:proofErr w:type="gramStart"/>
      <w:r w:rsidRPr="00DA058D">
        <w:rPr>
          <w:rFonts w:ascii="Tahoma" w:hAnsi="Tahoma" w:cs="Tahoma"/>
        </w:rPr>
        <w:t>have  a</w:t>
      </w:r>
      <w:proofErr w:type="gramEnd"/>
      <w:r w:rsidRPr="00DA058D">
        <w:rPr>
          <w:rFonts w:ascii="Tahoma" w:hAnsi="Tahoma" w:cs="Tahoma"/>
        </w:rPr>
        <w:t xml:space="preserve"> material impact on the policies; the financial statements and disclosure thereof and council resolutions compliance thereto;</w:t>
      </w:r>
    </w:p>
    <w:p w14:paraId="3AB8BEDC" w14:textId="77777777" w:rsidR="00073BE9" w:rsidRPr="00DA058D" w:rsidRDefault="00073BE9" w:rsidP="00073BE9">
      <w:pPr>
        <w:numPr>
          <w:ilvl w:val="0"/>
          <w:numId w:val="9"/>
        </w:numPr>
        <w:spacing w:after="0" w:line="240" w:lineRule="auto"/>
        <w:jc w:val="both"/>
        <w:rPr>
          <w:rFonts w:ascii="Tahoma" w:hAnsi="Tahoma" w:cs="Tahoma"/>
        </w:rPr>
      </w:pPr>
      <w:r w:rsidRPr="00DA058D">
        <w:rPr>
          <w:rFonts w:ascii="Tahoma" w:hAnsi="Tahoma" w:cs="Tahoma"/>
        </w:rPr>
        <w:t xml:space="preserve">Enquire from management, the Auditor- General and Internal Audit about all outstanding litigation, </w:t>
      </w:r>
      <w:proofErr w:type="gramStart"/>
      <w:r w:rsidRPr="00DA058D">
        <w:rPr>
          <w:rFonts w:ascii="Tahoma" w:hAnsi="Tahoma" w:cs="Tahoma"/>
        </w:rPr>
        <w:t>contingencies</w:t>
      </w:r>
      <w:proofErr w:type="gramEnd"/>
      <w:r w:rsidRPr="00DA058D">
        <w:rPr>
          <w:rFonts w:ascii="Tahoma" w:hAnsi="Tahoma" w:cs="Tahoma"/>
        </w:rPr>
        <w:t xml:space="preserve"> and claims and how these matters are reflected in the municipality’s financial statements.</w:t>
      </w:r>
    </w:p>
    <w:p w14:paraId="5C7EE16D" w14:textId="77777777" w:rsidR="00073BE9" w:rsidRPr="00DA058D" w:rsidRDefault="00073BE9" w:rsidP="00073BE9">
      <w:pPr>
        <w:ind w:left="360"/>
        <w:jc w:val="both"/>
        <w:rPr>
          <w:rFonts w:ascii="Tahoma" w:hAnsi="Tahoma" w:cs="Tahoma"/>
        </w:rPr>
      </w:pPr>
    </w:p>
    <w:p w14:paraId="0A9AF4D5" w14:textId="69D8E395" w:rsidR="00073BE9" w:rsidRPr="00DA058D" w:rsidRDefault="00073BE9" w:rsidP="00916ADC">
      <w:pPr>
        <w:spacing w:after="0" w:line="240" w:lineRule="auto"/>
        <w:jc w:val="both"/>
        <w:rPr>
          <w:rFonts w:ascii="Tahoma" w:hAnsi="Tahoma" w:cs="Tahoma"/>
          <w:b/>
        </w:rPr>
      </w:pPr>
      <w:r w:rsidRPr="00DA058D">
        <w:rPr>
          <w:rFonts w:ascii="Tahoma" w:hAnsi="Tahoma" w:cs="Tahoma"/>
          <w:b/>
        </w:rPr>
        <w:t>Review Accounting Policies</w:t>
      </w:r>
    </w:p>
    <w:p w14:paraId="75AF47DF" w14:textId="77777777" w:rsidR="00073BE9" w:rsidRPr="00DA058D" w:rsidRDefault="00073BE9" w:rsidP="00073BE9">
      <w:pPr>
        <w:jc w:val="both"/>
        <w:rPr>
          <w:rFonts w:ascii="Tahoma" w:hAnsi="Tahoma" w:cs="Tahoma"/>
          <w:b/>
        </w:rPr>
      </w:pPr>
      <w:r w:rsidRPr="00DA058D">
        <w:rPr>
          <w:rFonts w:ascii="Tahoma" w:hAnsi="Tahoma" w:cs="Tahoma"/>
          <w:b/>
        </w:rPr>
        <w:t xml:space="preserve">    </w:t>
      </w:r>
    </w:p>
    <w:p w14:paraId="7AAE5994" w14:textId="77777777" w:rsidR="00916ADC" w:rsidRPr="00DA058D" w:rsidRDefault="00073BE9" w:rsidP="00073BE9">
      <w:pPr>
        <w:numPr>
          <w:ilvl w:val="0"/>
          <w:numId w:val="10"/>
        </w:numPr>
        <w:spacing w:after="0" w:line="240" w:lineRule="auto"/>
        <w:jc w:val="both"/>
        <w:rPr>
          <w:rFonts w:ascii="Tahoma" w:hAnsi="Tahoma" w:cs="Tahoma"/>
        </w:rPr>
      </w:pPr>
      <w:r w:rsidRPr="00DA058D">
        <w:rPr>
          <w:rFonts w:ascii="Tahoma" w:hAnsi="Tahoma" w:cs="Tahoma"/>
        </w:rPr>
        <w:t xml:space="preserve">Ensure that the Accounting Policies are as per the policies disclosed in the specimen financial statements issued by the National Treasury. </w:t>
      </w:r>
    </w:p>
    <w:p w14:paraId="60653490" w14:textId="320165E2" w:rsidR="00073BE9" w:rsidRPr="00DA058D" w:rsidRDefault="00073BE9" w:rsidP="00073BE9">
      <w:pPr>
        <w:numPr>
          <w:ilvl w:val="0"/>
          <w:numId w:val="10"/>
        </w:numPr>
        <w:spacing w:after="0" w:line="240" w:lineRule="auto"/>
        <w:jc w:val="both"/>
        <w:rPr>
          <w:rFonts w:ascii="Tahoma" w:hAnsi="Tahoma" w:cs="Tahoma"/>
        </w:rPr>
      </w:pPr>
      <w:r w:rsidRPr="00DA058D">
        <w:rPr>
          <w:rFonts w:ascii="Tahoma" w:hAnsi="Tahoma" w:cs="Tahoma"/>
        </w:rPr>
        <w:t xml:space="preserve">Where there are deviations, ensure </w:t>
      </w:r>
      <w:proofErr w:type="gramStart"/>
      <w:r w:rsidRPr="00DA058D">
        <w:rPr>
          <w:rFonts w:ascii="Tahoma" w:hAnsi="Tahoma" w:cs="Tahoma"/>
        </w:rPr>
        <w:t>that  there</w:t>
      </w:r>
      <w:proofErr w:type="gramEnd"/>
      <w:r w:rsidRPr="00DA058D">
        <w:rPr>
          <w:rFonts w:ascii="Tahoma" w:hAnsi="Tahoma" w:cs="Tahoma"/>
        </w:rPr>
        <w:t xml:space="preserve"> is evidence of satisfactory consultation with the Office of  Accountant-General regarding the changes;</w:t>
      </w:r>
    </w:p>
    <w:p w14:paraId="259E7093" w14:textId="77777777" w:rsidR="00073BE9" w:rsidRPr="00DA058D" w:rsidRDefault="00073BE9" w:rsidP="00073BE9">
      <w:pPr>
        <w:numPr>
          <w:ilvl w:val="0"/>
          <w:numId w:val="10"/>
        </w:numPr>
        <w:spacing w:after="0" w:line="240" w:lineRule="auto"/>
        <w:jc w:val="both"/>
        <w:rPr>
          <w:rFonts w:ascii="Tahoma" w:hAnsi="Tahoma" w:cs="Tahoma"/>
        </w:rPr>
      </w:pPr>
      <w:r w:rsidRPr="00DA058D">
        <w:rPr>
          <w:rFonts w:ascii="Tahoma" w:hAnsi="Tahoma" w:cs="Tahoma"/>
        </w:rPr>
        <w:t xml:space="preserve">Consider the reasons for the changes in policies, if any. Assess whether changes have been currently dealt with and disclosed in the </w:t>
      </w:r>
      <w:proofErr w:type="gramStart"/>
      <w:r w:rsidRPr="00DA058D">
        <w:rPr>
          <w:rFonts w:ascii="Tahoma" w:hAnsi="Tahoma" w:cs="Tahoma"/>
        </w:rPr>
        <w:t>AFS;</w:t>
      </w:r>
      <w:proofErr w:type="gramEnd"/>
    </w:p>
    <w:p w14:paraId="4A517F55" w14:textId="77777777" w:rsidR="00073BE9" w:rsidRPr="00DA058D" w:rsidRDefault="00073BE9" w:rsidP="00073BE9">
      <w:pPr>
        <w:numPr>
          <w:ilvl w:val="0"/>
          <w:numId w:val="10"/>
        </w:numPr>
        <w:spacing w:after="0" w:line="240" w:lineRule="auto"/>
        <w:jc w:val="both"/>
        <w:rPr>
          <w:rFonts w:ascii="Tahoma" w:hAnsi="Tahoma" w:cs="Tahoma"/>
        </w:rPr>
      </w:pPr>
      <w:r w:rsidRPr="00DA058D">
        <w:rPr>
          <w:rFonts w:ascii="Tahoma" w:hAnsi="Tahoma" w:cs="Tahoma"/>
        </w:rPr>
        <w:t>Enquire whether these changes are consistent with the required accounting framework and if not, whether National Treasury (Office of Accountant-General) approval has been obtained.</w:t>
      </w:r>
    </w:p>
    <w:p w14:paraId="338EC81B" w14:textId="77777777" w:rsidR="00073BE9" w:rsidRPr="00DA058D" w:rsidRDefault="00073BE9" w:rsidP="00073BE9">
      <w:pPr>
        <w:ind w:left="720"/>
        <w:jc w:val="both"/>
        <w:rPr>
          <w:rFonts w:ascii="Tahoma" w:hAnsi="Tahoma" w:cs="Tahoma"/>
        </w:rPr>
      </w:pPr>
    </w:p>
    <w:p w14:paraId="0D18A15A" w14:textId="3B6ABD3E" w:rsidR="00073BE9" w:rsidRPr="00DA058D" w:rsidRDefault="00073BE9" w:rsidP="00916ADC">
      <w:pPr>
        <w:rPr>
          <w:rFonts w:ascii="Tahoma" w:hAnsi="Tahoma" w:cs="Tahoma"/>
          <w:b/>
          <w:bCs/>
          <w:sz w:val="24"/>
          <w:szCs w:val="24"/>
        </w:rPr>
      </w:pPr>
      <w:bookmarkStart w:id="0" w:name="OLE_LINK1"/>
      <w:bookmarkStart w:id="1" w:name="OLE_LINK2"/>
      <w:bookmarkStart w:id="2" w:name="_Toc286301350"/>
      <w:bookmarkStart w:id="3" w:name="_Toc322938007"/>
      <w:bookmarkStart w:id="4" w:name="_Toc322938022"/>
      <w:bookmarkStart w:id="5" w:name="_Toc322938160"/>
      <w:bookmarkStart w:id="6" w:name="_Toc322938239"/>
      <w:bookmarkStart w:id="7" w:name="_Toc324932909"/>
      <w:r w:rsidRPr="00DA058D">
        <w:rPr>
          <w:rFonts w:ascii="Tahoma" w:hAnsi="Tahoma" w:cs="Tahoma"/>
          <w:b/>
          <w:bCs/>
          <w:sz w:val="24"/>
          <w:szCs w:val="24"/>
        </w:rPr>
        <w:t>RESPONSIBILITIES RELATED TO THE INTERNAL CONTROL</w:t>
      </w:r>
      <w:bookmarkEnd w:id="0"/>
      <w:bookmarkEnd w:id="1"/>
      <w:bookmarkEnd w:id="2"/>
      <w:bookmarkEnd w:id="3"/>
      <w:bookmarkEnd w:id="4"/>
      <w:bookmarkEnd w:id="5"/>
      <w:bookmarkEnd w:id="6"/>
      <w:bookmarkEnd w:id="7"/>
    </w:p>
    <w:p w14:paraId="04F2C321" w14:textId="77777777" w:rsidR="00073BE9" w:rsidRPr="00DA058D" w:rsidRDefault="00073BE9" w:rsidP="00073BE9">
      <w:pPr>
        <w:numPr>
          <w:ilvl w:val="0"/>
          <w:numId w:val="11"/>
        </w:numPr>
        <w:spacing w:after="0" w:line="240" w:lineRule="auto"/>
        <w:jc w:val="both"/>
        <w:rPr>
          <w:rFonts w:ascii="Tahoma" w:hAnsi="Tahoma" w:cs="Tahoma"/>
          <w:color w:val="000000"/>
        </w:rPr>
      </w:pPr>
      <w:r w:rsidRPr="00DA058D">
        <w:rPr>
          <w:rFonts w:ascii="Tahoma" w:hAnsi="Tahoma" w:cs="Tahoma"/>
          <w:color w:val="000000"/>
        </w:rPr>
        <w:t xml:space="preserve">Consider the effectiveness of the municipality’s system of the internal control, including information technology, </w:t>
      </w:r>
      <w:proofErr w:type="gramStart"/>
      <w:r w:rsidRPr="00DA058D">
        <w:rPr>
          <w:rFonts w:ascii="Tahoma" w:hAnsi="Tahoma" w:cs="Tahoma"/>
          <w:color w:val="000000"/>
        </w:rPr>
        <w:t>security</w:t>
      </w:r>
      <w:proofErr w:type="gramEnd"/>
      <w:r w:rsidRPr="00DA058D">
        <w:rPr>
          <w:rFonts w:ascii="Tahoma" w:hAnsi="Tahoma" w:cs="Tahoma"/>
          <w:color w:val="000000"/>
        </w:rPr>
        <w:t xml:space="preserve"> and control.</w:t>
      </w:r>
    </w:p>
    <w:p w14:paraId="70347CC3" w14:textId="77777777" w:rsidR="00073BE9" w:rsidRPr="00DA058D" w:rsidRDefault="00073BE9" w:rsidP="00073BE9">
      <w:pPr>
        <w:numPr>
          <w:ilvl w:val="0"/>
          <w:numId w:val="11"/>
        </w:numPr>
        <w:spacing w:after="0" w:line="240" w:lineRule="auto"/>
        <w:jc w:val="both"/>
        <w:rPr>
          <w:rFonts w:ascii="Tahoma" w:hAnsi="Tahoma" w:cs="Tahoma"/>
          <w:color w:val="000000"/>
        </w:rPr>
      </w:pPr>
      <w:r w:rsidRPr="00DA058D">
        <w:rPr>
          <w:rFonts w:ascii="Tahoma" w:hAnsi="Tahoma" w:cs="Tahoma"/>
          <w:color w:val="000000"/>
        </w:rPr>
        <w:t>Understand the scope of internal and external auditor’s review of internal control over financial reporting, and obtain reports on significant findings and recommendations, together with management’s responses; and</w:t>
      </w:r>
    </w:p>
    <w:p w14:paraId="28A33263" w14:textId="77777777" w:rsidR="00073BE9" w:rsidRPr="00DA058D" w:rsidRDefault="00073BE9" w:rsidP="00073BE9">
      <w:pPr>
        <w:numPr>
          <w:ilvl w:val="0"/>
          <w:numId w:val="11"/>
        </w:numPr>
        <w:spacing w:after="0" w:line="240" w:lineRule="auto"/>
        <w:jc w:val="both"/>
        <w:rPr>
          <w:rFonts w:ascii="Tahoma" w:hAnsi="Tahoma" w:cs="Tahoma"/>
          <w:color w:val="000000"/>
        </w:rPr>
      </w:pPr>
      <w:r w:rsidRPr="00DA058D">
        <w:rPr>
          <w:rFonts w:ascii="Tahoma" w:hAnsi="Tahoma" w:cs="Tahoma"/>
          <w:color w:val="000000"/>
        </w:rPr>
        <w:lastRenderedPageBreak/>
        <w:t xml:space="preserve">Evaluate whether management is setting appropriate “control culture” by communicating the importance of internal control, risk management and ensuring that all employees </w:t>
      </w:r>
      <w:proofErr w:type="gramStart"/>
      <w:r w:rsidRPr="00DA058D">
        <w:rPr>
          <w:rFonts w:ascii="Tahoma" w:hAnsi="Tahoma" w:cs="Tahoma"/>
          <w:color w:val="000000"/>
        </w:rPr>
        <w:t>have an understanding of</w:t>
      </w:r>
      <w:proofErr w:type="gramEnd"/>
      <w:r w:rsidRPr="00DA058D">
        <w:rPr>
          <w:rFonts w:ascii="Tahoma" w:hAnsi="Tahoma" w:cs="Tahoma"/>
          <w:color w:val="000000"/>
        </w:rPr>
        <w:t xml:space="preserve"> their roles and responsibilities.</w:t>
      </w:r>
    </w:p>
    <w:p w14:paraId="17D0C906" w14:textId="77777777" w:rsidR="00073BE9" w:rsidRPr="00DA058D" w:rsidRDefault="00073BE9" w:rsidP="00073BE9">
      <w:pPr>
        <w:ind w:left="720"/>
        <w:jc w:val="both"/>
        <w:rPr>
          <w:rFonts w:ascii="Tahoma" w:hAnsi="Tahoma" w:cs="Tahoma"/>
          <w:color w:val="000000"/>
        </w:rPr>
      </w:pPr>
    </w:p>
    <w:p w14:paraId="42B1FE1C" w14:textId="77777777" w:rsidR="00073BE9" w:rsidRPr="00DA058D" w:rsidRDefault="00073BE9" w:rsidP="00073BE9">
      <w:pPr>
        <w:rPr>
          <w:rFonts w:ascii="Tahoma" w:hAnsi="Tahoma" w:cs="Tahoma"/>
        </w:rPr>
      </w:pPr>
    </w:p>
    <w:p w14:paraId="3D7B8F39" w14:textId="13B010AB" w:rsidR="00073BE9" w:rsidRPr="00DA058D" w:rsidRDefault="00073BE9" w:rsidP="00DA058D">
      <w:pPr>
        <w:rPr>
          <w:rFonts w:ascii="Tahoma" w:hAnsi="Tahoma" w:cs="Tahoma"/>
          <w:b/>
          <w:bCs/>
          <w:sz w:val="24"/>
          <w:szCs w:val="24"/>
        </w:rPr>
      </w:pPr>
      <w:r w:rsidRPr="00DA058D">
        <w:rPr>
          <w:rFonts w:ascii="Tahoma" w:hAnsi="Tahoma" w:cs="Tahoma"/>
          <w:b/>
          <w:bCs/>
          <w:sz w:val="24"/>
          <w:szCs w:val="24"/>
        </w:rPr>
        <w:t xml:space="preserve"> </w:t>
      </w:r>
      <w:bookmarkStart w:id="8" w:name="_Toc286301351"/>
      <w:bookmarkStart w:id="9" w:name="_Toc322938008"/>
      <w:bookmarkStart w:id="10" w:name="_Toc322938023"/>
      <w:bookmarkStart w:id="11" w:name="_Toc322938161"/>
      <w:bookmarkStart w:id="12" w:name="_Toc322938240"/>
      <w:bookmarkStart w:id="13" w:name="_Toc324932910"/>
      <w:r w:rsidRPr="00DA058D">
        <w:rPr>
          <w:rFonts w:ascii="Tahoma" w:hAnsi="Tahoma" w:cs="Tahoma"/>
          <w:b/>
          <w:bCs/>
          <w:sz w:val="24"/>
          <w:szCs w:val="24"/>
        </w:rPr>
        <w:t>RESPONSIBILITIES RELATED TO COMPLIANCE</w:t>
      </w:r>
      <w:bookmarkEnd w:id="8"/>
      <w:bookmarkEnd w:id="9"/>
      <w:bookmarkEnd w:id="10"/>
      <w:bookmarkEnd w:id="11"/>
      <w:bookmarkEnd w:id="12"/>
      <w:bookmarkEnd w:id="13"/>
      <w:r w:rsidRPr="00DA058D">
        <w:rPr>
          <w:rFonts w:ascii="Tahoma" w:hAnsi="Tahoma" w:cs="Tahoma"/>
          <w:b/>
          <w:bCs/>
          <w:sz w:val="24"/>
          <w:szCs w:val="24"/>
        </w:rPr>
        <w:t xml:space="preserve"> </w:t>
      </w:r>
    </w:p>
    <w:p w14:paraId="647C3919" w14:textId="77777777" w:rsidR="00DA058D" w:rsidRPr="00DA058D" w:rsidRDefault="00DA058D" w:rsidP="00DA058D">
      <w:pPr>
        <w:rPr>
          <w:rFonts w:ascii="Tahoma" w:hAnsi="Tahoma" w:cs="Tahoma"/>
          <w:b/>
          <w:bCs/>
          <w:sz w:val="24"/>
          <w:szCs w:val="24"/>
        </w:rPr>
      </w:pPr>
    </w:p>
    <w:p w14:paraId="483255AC" w14:textId="1EAB1396"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 xml:space="preserve">Review the effectiveness of the systems for monitoring compliance with laws and regulations and the results of management’s investigation and follow-up (including disciplinary action) of any instances of </w:t>
      </w:r>
      <w:r w:rsidR="00916ADC" w:rsidRPr="00DA058D">
        <w:rPr>
          <w:rFonts w:ascii="Tahoma" w:hAnsi="Tahoma" w:cs="Tahoma"/>
        </w:rPr>
        <w:t>non-compliance.</w:t>
      </w:r>
    </w:p>
    <w:p w14:paraId="4E0D8AC4" w14:textId="77777777"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 xml:space="preserve">Review the findings of any examinations by regulatory agencies and any auditor observations; and </w:t>
      </w:r>
    </w:p>
    <w:p w14:paraId="78914E87" w14:textId="77777777"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 xml:space="preserve">Obtain regular updates from management and company legal counsel regarding compliance matters. </w:t>
      </w:r>
    </w:p>
    <w:p w14:paraId="797E7C43" w14:textId="77777777"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Be satisfied that all regulatory and compliance matters have been considered in the preparation of the financial statements.</w:t>
      </w:r>
    </w:p>
    <w:p w14:paraId="047213D9" w14:textId="77777777"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Review the organization’s assurance programs.</w:t>
      </w:r>
    </w:p>
    <w:p w14:paraId="277028E7" w14:textId="77777777" w:rsidR="00073BE9" w:rsidRPr="00DA058D" w:rsidRDefault="00073BE9" w:rsidP="00073BE9">
      <w:pPr>
        <w:numPr>
          <w:ilvl w:val="0"/>
          <w:numId w:val="12"/>
        </w:numPr>
        <w:spacing w:after="0" w:line="240" w:lineRule="auto"/>
        <w:jc w:val="both"/>
        <w:rPr>
          <w:rFonts w:ascii="Tahoma" w:hAnsi="Tahoma" w:cs="Tahoma"/>
        </w:rPr>
      </w:pPr>
      <w:r w:rsidRPr="00DA058D">
        <w:rPr>
          <w:rFonts w:ascii="Tahoma" w:hAnsi="Tahoma" w:cs="Tahoma"/>
        </w:rPr>
        <w:t>Review the impact of new or proposed legislation or governmental regulations. (</w:t>
      </w:r>
      <w:proofErr w:type="spellStart"/>
      <w:proofErr w:type="gramStart"/>
      <w:r w:rsidRPr="00DA058D">
        <w:rPr>
          <w:rFonts w:ascii="Tahoma" w:hAnsi="Tahoma" w:cs="Tahoma"/>
        </w:rPr>
        <w:t>eg.MFMA</w:t>
      </w:r>
      <w:proofErr w:type="spellEnd"/>
      <w:proofErr w:type="gramEnd"/>
      <w:r w:rsidRPr="00DA058D">
        <w:rPr>
          <w:rFonts w:ascii="Tahoma" w:hAnsi="Tahoma" w:cs="Tahoma"/>
        </w:rPr>
        <w:t>, DORA, Corruption Act, etc.)</w:t>
      </w:r>
    </w:p>
    <w:p w14:paraId="14DDDAD2" w14:textId="77777777" w:rsidR="00073BE9" w:rsidRPr="00DA058D" w:rsidRDefault="00073BE9" w:rsidP="00073BE9">
      <w:pPr>
        <w:jc w:val="both"/>
        <w:rPr>
          <w:rFonts w:ascii="Tahoma" w:hAnsi="Tahoma" w:cs="Tahoma"/>
        </w:rPr>
      </w:pPr>
    </w:p>
    <w:p w14:paraId="1E2066E9" w14:textId="77777777" w:rsidR="00073BE9" w:rsidRPr="00DA058D" w:rsidRDefault="00073BE9" w:rsidP="00916ADC">
      <w:pPr>
        <w:rPr>
          <w:rFonts w:ascii="Tahoma" w:hAnsi="Tahoma" w:cs="Tahoma"/>
          <w:b/>
          <w:bCs/>
          <w:sz w:val="24"/>
          <w:szCs w:val="24"/>
        </w:rPr>
      </w:pPr>
      <w:r w:rsidRPr="00DA058D">
        <w:rPr>
          <w:rFonts w:ascii="Tahoma" w:hAnsi="Tahoma" w:cs="Tahoma"/>
          <w:sz w:val="20"/>
          <w:szCs w:val="12"/>
        </w:rPr>
        <w:t xml:space="preserve"> </w:t>
      </w:r>
      <w:bookmarkStart w:id="14" w:name="_Toc286301352"/>
      <w:bookmarkStart w:id="15" w:name="_Toc322938009"/>
      <w:bookmarkStart w:id="16" w:name="_Toc322938024"/>
      <w:bookmarkStart w:id="17" w:name="_Toc322938162"/>
      <w:bookmarkStart w:id="18" w:name="_Toc322938241"/>
      <w:bookmarkStart w:id="19" w:name="_Toc324932911"/>
      <w:r w:rsidRPr="00DA058D">
        <w:rPr>
          <w:rFonts w:ascii="Tahoma" w:hAnsi="Tahoma" w:cs="Tahoma"/>
          <w:b/>
          <w:bCs/>
          <w:sz w:val="24"/>
          <w:szCs w:val="24"/>
        </w:rPr>
        <w:t>RESPONSIBILITIES RELATED TO PERFORMANCE MANAGEMENT</w:t>
      </w:r>
      <w:bookmarkEnd w:id="14"/>
      <w:bookmarkEnd w:id="15"/>
      <w:bookmarkEnd w:id="16"/>
      <w:bookmarkEnd w:id="17"/>
      <w:bookmarkEnd w:id="18"/>
      <w:bookmarkEnd w:id="19"/>
    </w:p>
    <w:p w14:paraId="5C18AA19" w14:textId="77777777" w:rsidR="00073BE9" w:rsidRPr="00DA058D" w:rsidRDefault="00073BE9" w:rsidP="00073BE9">
      <w:pPr>
        <w:jc w:val="both"/>
        <w:rPr>
          <w:rFonts w:ascii="Tahoma" w:hAnsi="Tahoma" w:cs="Tahoma"/>
          <w:b/>
        </w:rPr>
      </w:pPr>
    </w:p>
    <w:p w14:paraId="3942566D" w14:textId="77777777" w:rsidR="00073BE9" w:rsidRPr="00DA058D" w:rsidRDefault="00073BE9" w:rsidP="00073BE9">
      <w:pPr>
        <w:numPr>
          <w:ilvl w:val="0"/>
          <w:numId w:val="13"/>
        </w:numPr>
        <w:spacing w:after="0" w:line="240" w:lineRule="auto"/>
        <w:jc w:val="both"/>
        <w:rPr>
          <w:rFonts w:ascii="Tahoma" w:hAnsi="Tahoma" w:cs="Tahoma"/>
        </w:rPr>
      </w:pPr>
      <w:r w:rsidRPr="00DA058D">
        <w:rPr>
          <w:rFonts w:ascii="Tahoma" w:hAnsi="Tahoma" w:cs="Tahoma"/>
        </w:rPr>
        <w:t xml:space="preserve">Review the quarterly report submitted to it by the Internal Audit Activity and </w:t>
      </w:r>
      <w:proofErr w:type="gramStart"/>
      <w:r w:rsidRPr="00DA058D">
        <w:rPr>
          <w:rFonts w:ascii="Tahoma" w:hAnsi="Tahoma" w:cs="Tahoma"/>
        </w:rPr>
        <w:t>management;</w:t>
      </w:r>
      <w:proofErr w:type="gramEnd"/>
    </w:p>
    <w:p w14:paraId="40FA692B" w14:textId="77777777" w:rsidR="00073BE9" w:rsidRPr="00DA058D" w:rsidRDefault="00073BE9" w:rsidP="00073BE9">
      <w:pPr>
        <w:numPr>
          <w:ilvl w:val="0"/>
          <w:numId w:val="13"/>
        </w:numPr>
        <w:spacing w:after="0" w:line="240" w:lineRule="auto"/>
        <w:jc w:val="both"/>
        <w:rPr>
          <w:rFonts w:ascii="Tahoma" w:hAnsi="Tahoma" w:cs="Tahoma"/>
        </w:rPr>
      </w:pPr>
      <w:r w:rsidRPr="00DA058D">
        <w:rPr>
          <w:rFonts w:ascii="Tahoma" w:hAnsi="Tahoma" w:cs="Tahoma"/>
        </w:rPr>
        <w:t xml:space="preserve">Review Council’s performance management system and make recommendations in this regard to </w:t>
      </w:r>
      <w:proofErr w:type="gramStart"/>
      <w:r w:rsidRPr="00DA058D">
        <w:rPr>
          <w:rFonts w:ascii="Tahoma" w:hAnsi="Tahoma" w:cs="Tahoma"/>
        </w:rPr>
        <w:t>Council;</w:t>
      </w:r>
      <w:proofErr w:type="gramEnd"/>
    </w:p>
    <w:p w14:paraId="61A15ABB" w14:textId="77777777" w:rsidR="00073BE9" w:rsidRPr="00DA058D" w:rsidRDefault="00073BE9" w:rsidP="00073BE9">
      <w:pPr>
        <w:numPr>
          <w:ilvl w:val="0"/>
          <w:numId w:val="13"/>
        </w:numPr>
        <w:spacing w:after="0" w:line="240" w:lineRule="auto"/>
        <w:jc w:val="both"/>
        <w:rPr>
          <w:rFonts w:ascii="Tahoma" w:hAnsi="Tahoma" w:cs="Tahoma"/>
        </w:rPr>
      </w:pPr>
      <w:r w:rsidRPr="00DA058D">
        <w:rPr>
          <w:rFonts w:ascii="Tahoma" w:hAnsi="Tahoma" w:cs="Tahoma"/>
        </w:rPr>
        <w:t xml:space="preserve">Assess whether the performance indicators are </w:t>
      </w:r>
      <w:proofErr w:type="gramStart"/>
      <w:r w:rsidRPr="00DA058D">
        <w:rPr>
          <w:rFonts w:ascii="Tahoma" w:hAnsi="Tahoma" w:cs="Tahoma"/>
        </w:rPr>
        <w:t>sufficient;</w:t>
      </w:r>
      <w:proofErr w:type="gramEnd"/>
    </w:p>
    <w:p w14:paraId="0622960C" w14:textId="77777777" w:rsidR="00073BE9" w:rsidRPr="00DA058D" w:rsidRDefault="00073BE9" w:rsidP="00073BE9">
      <w:pPr>
        <w:numPr>
          <w:ilvl w:val="0"/>
          <w:numId w:val="13"/>
        </w:numPr>
        <w:spacing w:after="0" w:line="240" w:lineRule="auto"/>
        <w:jc w:val="both"/>
        <w:rPr>
          <w:rFonts w:ascii="Tahoma" w:hAnsi="Tahoma" w:cs="Tahoma"/>
        </w:rPr>
      </w:pPr>
      <w:r w:rsidRPr="00DA058D">
        <w:rPr>
          <w:rFonts w:ascii="Tahoma" w:hAnsi="Tahoma" w:cs="Tahoma"/>
        </w:rPr>
        <w:t>At least twice during a financial year submit an audit report to Council.</w:t>
      </w:r>
    </w:p>
    <w:p w14:paraId="77E3033A" w14:textId="77777777" w:rsidR="00073BE9" w:rsidRPr="00DA058D" w:rsidRDefault="00073BE9" w:rsidP="00073BE9">
      <w:pPr>
        <w:ind w:left="720"/>
        <w:jc w:val="both"/>
        <w:rPr>
          <w:rFonts w:ascii="Tahoma" w:hAnsi="Tahoma" w:cs="Tahoma"/>
        </w:rPr>
      </w:pPr>
    </w:p>
    <w:p w14:paraId="5AFFC31A" w14:textId="77777777" w:rsidR="00073BE9" w:rsidRPr="00DA058D" w:rsidRDefault="00073BE9" w:rsidP="00916ADC">
      <w:pPr>
        <w:rPr>
          <w:rFonts w:ascii="Tahoma" w:hAnsi="Tahoma" w:cs="Tahoma"/>
          <w:b/>
          <w:bCs/>
          <w:sz w:val="24"/>
          <w:szCs w:val="24"/>
        </w:rPr>
      </w:pPr>
      <w:bookmarkStart w:id="20" w:name="_Toc286301353"/>
      <w:bookmarkStart w:id="21" w:name="_Toc322938010"/>
      <w:bookmarkStart w:id="22" w:name="_Toc322938025"/>
      <w:bookmarkStart w:id="23" w:name="_Toc322938163"/>
      <w:bookmarkStart w:id="24" w:name="_Toc322938242"/>
      <w:bookmarkStart w:id="25" w:name="_Toc324932912"/>
      <w:r w:rsidRPr="00DA058D">
        <w:rPr>
          <w:rFonts w:ascii="Tahoma" w:hAnsi="Tahoma" w:cs="Tahoma"/>
          <w:b/>
          <w:bCs/>
          <w:sz w:val="24"/>
          <w:szCs w:val="24"/>
        </w:rPr>
        <w:t>RESPONSIBILITIES RELATED TO RISK MANAGEMENT</w:t>
      </w:r>
      <w:bookmarkEnd w:id="20"/>
      <w:bookmarkEnd w:id="21"/>
      <w:bookmarkEnd w:id="22"/>
      <w:bookmarkEnd w:id="23"/>
      <w:bookmarkEnd w:id="24"/>
      <w:bookmarkEnd w:id="25"/>
    </w:p>
    <w:p w14:paraId="20ECA02D" w14:textId="77777777" w:rsidR="00073BE9" w:rsidRPr="00DA058D" w:rsidRDefault="00073BE9" w:rsidP="00073BE9">
      <w:pPr>
        <w:rPr>
          <w:rFonts w:ascii="Tahoma" w:hAnsi="Tahoma" w:cs="Tahoma"/>
          <w:b/>
        </w:rPr>
      </w:pPr>
    </w:p>
    <w:p w14:paraId="30C9AF1F" w14:textId="77777777" w:rsidR="00073BE9" w:rsidRPr="00DA058D" w:rsidRDefault="00073BE9" w:rsidP="00073BE9">
      <w:pPr>
        <w:numPr>
          <w:ilvl w:val="0"/>
          <w:numId w:val="14"/>
        </w:numPr>
        <w:spacing w:after="0" w:line="240" w:lineRule="auto"/>
        <w:jc w:val="both"/>
        <w:rPr>
          <w:rFonts w:ascii="Tahoma" w:hAnsi="Tahoma" w:cs="Tahoma"/>
        </w:rPr>
      </w:pPr>
      <w:r w:rsidRPr="00DA058D">
        <w:rPr>
          <w:rFonts w:ascii="Tahoma" w:hAnsi="Tahoma" w:cs="Tahoma"/>
        </w:rPr>
        <w:t>Setting strategic directions with regards to the establishment of Risk Management Strategy.</w:t>
      </w:r>
    </w:p>
    <w:p w14:paraId="44500AC2" w14:textId="77777777" w:rsidR="00073BE9" w:rsidRPr="00DA058D" w:rsidRDefault="00073BE9" w:rsidP="00073BE9">
      <w:pPr>
        <w:numPr>
          <w:ilvl w:val="0"/>
          <w:numId w:val="14"/>
        </w:numPr>
        <w:spacing w:after="0" w:line="240" w:lineRule="auto"/>
        <w:jc w:val="both"/>
        <w:rPr>
          <w:rFonts w:ascii="Tahoma" w:hAnsi="Tahoma" w:cs="Tahoma"/>
        </w:rPr>
      </w:pPr>
      <w:r w:rsidRPr="00DA058D">
        <w:rPr>
          <w:rFonts w:ascii="Tahoma" w:hAnsi="Tahoma" w:cs="Tahoma"/>
        </w:rPr>
        <w:t xml:space="preserve">Evaluation of whether management is setting the importance of risk management to ensure that all employees and councilors </w:t>
      </w:r>
      <w:proofErr w:type="gramStart"/>
      <w:r w:rsidRPr="00DA058D">
        <w:rPr>
          <w:rFonts w:ascii="Tahoma" w:hAnsi="Tahoma" w:cs="Tahoma"/>
        </w:rPr>
        <w:t>have an understanding of</w:t>
      </w:r>
      <w:proofErr w:type="gramEnd"/>
      <w:r w:rsidRPr="00DA058D">
        <w:rPr>
          <w:rFonts w:ascii="Tahoma" w:hAnsi="Tahoma" w:cs="Tahoma"/>
        </w:rPr>
        <w:t xml:space="preserve"> their roles and responsibilities in this regard.</w:t>
      </w:r>
    </w:p>
    <w:p w14:paraId="4DB98DCA" w14:textId="77777777" w:rsidR="00073BE9" w:rsidRPr="00DA058D" w:rsidRDefault="00073BE9" w:rsidP="00073BE9">
      <w:pPr>
        <w:numPr>
          <w:ilvl w:val="0"/>
          <w:numId w:val="14"/>
        </w:numPr>
        <w:spacing w:after="0" w:line="240" w:lineRule="auto"/>
        <w:jc w:val="both"/>
        <w:rPr>
          <w:rFonts w:ascii="Tahoma" w:hAnsi="Tahoma" w:cs="Tahoma"/>
        </w:rPr>
      </w:pPr>
      <w:r w:rsidRPr="00DA058D">
        <w:rPr>
          <w:rFonts w:ascii="Tahoma" w:hAnsi="Tahoma" w:cs="Tahoma"/>
        </w:rPr>
        <w:t xml:space="preserve">Monitor whether the risk management systems are effective and integrated with IDP </w:t>
      </w:r>
      <w:proofErr w:type="gramStart"/>
      <w:r w:rsidRPr="00DA058D">
        <w:rPr>
          <w:rFonts w:ascii="Tahoma" w:hAnsi="Tahoma" w:cs="Tahoma"/>
        </w:rPr>
        <w:t>objectives</w:t>
      </w:r>
      <w:proofErr w:type="gramEnd"/>
    </w:p>
    <w:p w14:paraId="62816C00" w14:textId="77777777" w:rsidR="00073BE9" w:rsidRPr="00DA058D" w:rsidRDefault="00073BE9" w:rsidP="00073BE9">
      <w:pPr>
        <w:ind w:left="720"/>
        <w:jc w:val="both"/>
        <w:rPr>
          <w:rFonts w:ascii="Tahoma" w:hAnsi="Tahoma" w:cs="Tahoma"/>
        </w:rPr>
      </w:pPr>
    </w:p>
    <w:p w14:paraId="53A919C3" w14:textId="241B369D" w:rsidR="00073BE9" w:rsidRPr="00DA058D" w:rsidRDefault="00073BE9" w:rsidP="00073BE9">
      <w:pPr>
        <w:rPr>
          <w:rFonts w:ascii="Tahoma" w:hAnsi="Tahoma" w:cs="Tahoma"/>
          <w:b/>
          <w:bCs/>
          <w:sz w:val="24"/>
          <w:szCs w:val="24"/>
        </w:rPr>
      </w:pPr>
      <w:bookmarkStart w:id="26" w:name="_Toc286301354"/>
      <w:bookmarkStart w:id="27" w:name="_Toc322938011"/>
      <w:bookmarkStart w:id="28" w:name="_Toc322938026"/>
      <w:bookmarkStart w:id="29" w:name="_Toc322938164"/>
      <w:bookmarkStart w:id="30" w:name="_Toc322938243"/>
      <w:bookmarkStart w:id="31" w:name="_Toc324932913"/>
      <w:r w:rsidRPr="00DA058D">
        <w:rPr>
          <w:rFonts w:ascii="Tahoma" w:hAnsi="Tahoma" w:cs="Tahoma"/>
          <w:b/>
          <w:bCs/>
          <w:sz w:val="24"/>
          <w:szCs w:val="24"/>
        </w:rPr>
        <w:t>RESPONSIBILITIES RELATED TO CORPORATE GOVERNANCE</w:t>
      </w:r>
      <w:bookmarkEnd w:id="26"/>
      <w:bookmarkEnd w:id="27"/>
      <w:bookmarkEnd w:id="28"/>
      <w:bookmarkEnd w:id="29"/>
      <w:bookmarkEnd w:id="30"/>
      <w:bookmarkEnd w:id="31"/>
    </w:p>
    <w:p w14:paraId="194E323F" w14:textId="77777777" w:rsidR="00073BE9" w:rsidRPr="00DA058D" w:rsidRDefault="00073BE9" w:rsidP="00073BE9">
      <w:pPr>
        <w:numPr>
          <w:ilvl w:val="0"/>
          <w:numId w:val="15"/>
        </w:numPr>
        <w:spacing w:after="0" w:line="240" w:lineRule="auto"/>
        <w:jc w:val="both"/>
        <w:rPr>
          <w:rFonts w:ascii="Tahoma" w:hAnsi="Tahoma" w:cs="Tahoma"/>
        </w:rPr>
      </w:pPr>
      <w:r w:rsidRPr="00DA058D">
        <w:rPr>
          <w:rFonts w:ascii="Tahoma" w:hAnsi="Tahoma" w:cs="Tahoma"/>
        </w:rPr>
        <w:t>Ensure that the code of conduct of the municipality is in writing and that it is communicated to all employees and councilors.</w:t>
      </w:r>
    </w:p>
    <w:p w14:paraId="67EA5DA5" w14:textId="77777777" w:rsidR="00073BE9" w:rsidRPr="00DA058D" w:rsidRDefault="00073BE9" w:rsidP="00073BE9">
      <w:pPr>
        <w:numPr>
          <w:ilvl w:val="0"/>
          <w:numId w:val="15"/>
        </w:numPr>
        <w:spacing w:after="0" w:line="240" w:lineRule="auto"/>
        <w:jc w:val="both"/>
        <w:rPr>
          <w:rFonts w:ascii="Tahoma" w:hAnsi="Tahoma" w:cs="Tahoma"/>
        </w:rPr>
      </w:pPr>
      <w:r w:rsidRPr="00DA058D">
        <w:rPr>
          <w:rFonts w:ascii="Tahoma" w:hAnsi="Tahoma" w:cs="Tahoma"/>
        </w:rPr>
        <w:t>Evaluate whether management is communicating the importance of the code of conduct and the guidelines for acceptable and ethical behavior and that a fraud corruption management strategy is compiled and implemented.</w:t>
      </w:r>
    </w:p>
    <w:p w14:paraId="25177D14" w14:textId="77777777" w:rsidR="00073BE9" w:rsidRPr="00DA058D" w:rsidRDefault="00073BE9" w:rsidP="00073BE9">
      <w:pPr>
        <w:numPr>
          <w:ilvl w:val="0"/>
          <w:numId w:val="15"/>
        </w:numPr>
        <w:spacing w:after="0" w:line="240" w:lineRule="auto"/>
        <w:jc w:val="both"/>
        <w:rPr>
          <w:rFonts w:ascii="Tahoma" w:hAnsi="Tahoma" w:cs="Tahoma"/>
        </w:rPr>
      </w:pPr>
      <w:r w:rsidRPr="00DA058D">
        <w:rPr>
          <w:rFonts w:ascii="Tahoma" w:hAnsi="Tahoma" w:cs="Tahoma"/>
        </w:rPr>
        <w:t>Review the process for monitoring compliance with the code of conduct.</w:t>
      </w:r>
    </w:p>
    <w:p w14:paraId="11261E98" w14:textId="77777777" w:rsidR="00073BE9" w:rsidRPr="00DA058D" w:rsidRDefault="00073BE9" w:rsidP="00073BE9">
      <w:pPr>
        <w:numPr>
          <w:ilvl w:val="0"/>
          <w:numId w:val="15"/>
        </w:numPr>
        <w:spacing w:after="0" w:line="240" w:lineRule="auto"/>
        <w:jc w:val="both"/>
        <w:rPr>
          <w:rFonts w:ascii="Tahoma" w:hAnsi="Tahoma" w:cs="Tahoma"/>
        </w:rPr>
      </w:pPr>
      <w:r w:rsidRPr="00DA058D">
        <w:rPr>
          <w:rFonts w:ascii="Tahoma" w:hAnsi="Tahoma" w:cs="Tahoma"/>
        </w:rPr>
        <w:t>Monitor whether the municipalities’ values are preserved by all.</w:t>
      </w:r>
    </w:p>
    <w:p w14:paraId="7E7054C7" w14:textId="194A7327" w:rsidR="00073BE9" w:rsidRPr="00DA058D" w:rsidRDefault="00073BE9" w:rsidP="00073BE9">
      <w:pPr>
        <w:rPr>
          <w:rFonts w:ascii="Tahoma" w:hAnsi="Tahoma" w:cs="Tahoma"/>
        </w:rPr>
      </w:pPr>
    </w:p>
    <w:p w14:paraId="367152E6" w14:textId="77777777" w:rsidR="00073BE9" w:rsidRPr="00DA058D" w:rsidRDefault="00073BE9" w:rsidP="00916ADC">
      <w:pPr>
        <w:rPr>
          <w:rFonts w:ascii="Tahoma" w:hAnsi="Tahoma" w:cs="Tahoma"/>
          <w:b/>
          <w:bCs/>
          <w:sz w:val="24"/>
          <w:szCs w:val="24"/>
        </w:rPr>
      </w:pPr>
      <w:bookmarkStart w:id="32" w:name="_Toc286301355"/>
      <w:r w:rsidRPr="00DA058D">
        <w:rPr>
          <w:rFonts w:ascii="Tahoma" w:hAnsi="Tahoma" w:cs="Tahoma"/>
        </w:rPr>
        <w:lastRenderedPageBreak/>
        <w:t xml:space="preserve"> </w:t>
      </w:r>
      <w:bookmarkStart w:id="33" w:name="_Toc324932914"/>
      <w:r w:rsidRPr="00DA058D">
        <w:rPr>
          <w:rFonts w:ascii="Tahoma" w:hAnsi="Tahoma" w:cs="Tahoma"/>
          <w:b/>
          <w:bCs/>
          <w:sz w:val="24"/>
          <w:szCs w:val="24"/>
        </w:rPr>
        <w:t>REPORTING RESPONSIBILITIES</w:t>
      </w:r>
      <w:bookmarkEnd w:id="32"/>
      <w:bookmarkEnd w:id="33"/>
    </w:p>
    <w:p w14:paraId="34861E18" w14:textId="77777777" w:rsidR="00073BE9" w:rsidRPr="00DA058D" w:rsidRDefault="00073BE9" w:rsidP="00073BE9">
      <w:pPr>
        <w:rPr>
          <w:rFonts w:ascii="Tahoma" w:hAnsi="Tahoma" w:cs="Tahoma"/>
          <w:lang w:val="en-ZA"/>
        </w:rPr>
      </w:pPr>
    </w:p>
    <w:p w14:paraId="183D3EB6"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Regular report to the Accounting Officer about committee activities, issues, and related </w:t>
      </w:r>
      <w:proofErr w:type="gramStart"/>
      <w:r w:rsidRPr="00DA058D">
        <w:rPr>
          <w:rFonts w:ascii="Tahoma" w:hAnsi="Tahoma" w:cs="Tahoma"/>
        </w:rPr>
        <w:t>recommendations;</w:t>
      </w:r>
      <w:proofErr w:type="gramEnd"/>
      <w:r w:rsidRPr="00DA058D">
        <w:rPr>
          <w:rFonts w:ascii="Tahoma" w:hAnsi="Tahoma" w:cs="Tahoma"/>
        </w:rPr>
        <w:t xml:space="preserve"> </w:t>
      </w:r>
    </w:p>
    <w:p w14:paraId="009B843E"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Report to Council quarterly about committee activities, issues, and related </w:t>
      </w:r>
      <w:proofErr w:type="gramStart"/>
      <w:r w:rsidRPr="00DA058D">
        <w:rPr>
          <w:rFonts w:ascii="Tahoma" w:hAnsi="Tahoma" w:cs="Tahoma"/>
        </w:rPr>
        <w:t>recommendations;</w:t>
      </w:r>
      <w:proofErr w:type="gramEnd"/>
    </w:p>
    <w:p w14:paraId="692CF3DF"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Provide an open avenue of communication between IAA, the external auditors, and </w:t>
      </w:r>
      <w:proofErr w:type="gramStart"/>
      <w:r w:rsidRPr="00DA058D">
        <w:rPr>
          <w:rFonts w:ascii="Tahoma" w:hAnsi="Tahoma" w:cs="Tahoma"/>
        </w:rPr>
        <w:t>management;</w:t>
      </w:r>
      <w:proofErr w:type="gramEnd"/>
      <w:r w:rsidRPr="00DA058D">
        <w:rPr>
          <w:rFonts w:ascii="Tahoma" w:hAnsi="Tahoma" w:cs="Tahoma"/>
        </w:rPr>
        <w:t xml:space="preserve"> </w:t>
      </w:r>
    </w:p>
    <w:p w14:paraId="7C949870"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Review any other reports that the entity issues relating to committee </w:t>
      </w:r>
      <w:proofErr w:type="gramStart"/>
      <w:r w:rsidRPr="00DA058D">
        <w:rPr>
          <w:rFonts w:ascii="Tahoma" w:hAnsi="Tahoma" w:cs="Tahoma"/>
        </w:rPr>
        <w:t>responsibilities;</w:t>
      </w:r>
      <w:proofErr w:type="gramEnd"/>
    </w:p>
    <w:p w14:paraId="6BA8F19A"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Perform other activities related to this charter as requested by the Accounting </w:t>
      </w:r>
      <w:proofErr w:type="gramStart"/>
      <w:r w:rsidRPr="00DA058D">
        <w:rPr>
          <w:rFonts w:ascii="Tahoma" w:hAnsi="Tahoma" w:cs="Tahoma"/>
        </w:rPr>
        <w:t>Officer;</w:t>
      </w:r>
      <w:proofErr w:type="gramEnd"/>
      <w:r w:rsidRPr="00DA058D">
        <w:rPr>
          <w:rFonts w:ascii="Tahoma" w:hAnsi="Tahoma" w:cs="Tahoma"/>
        </w:rPr>
        <w:t xml:space="preserve"> </w:t>
      </w:r>
    </w:p>
    <w:p w14:paraId="4B4996F5"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Institute and oversee special investigations as </w:t>
      </w:r>
      <w:proofErr w:type="gramStart"/>
      <w:r w:rsidRPr="00DA058D">
        <w:rPr>
          <w:rFonts w:ascii="Tahoma" w:hAnsi="Tahoma" w:cs="Tahoma"/>
        </w:rPr>
        <w:t>needed;</w:t>
      </w:r>
      <w:proofErr w:type="gramEnd"/>
      <w:r w:rsidRPr="00DA058D">
        <w:rPr>
          <w:rFonts w:ascii="Tahoma" w:hAnsi="Tahoma" w:cs="Tahoma"/>
        </w:rPr>
        <w:t xml:space="preserve"> </w:t>
      </w:r>
    </w:p>
    <w:p w14:paraId="61311223"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Review and assess the adequacy of the committee charter annually, requesting Accounting Officer’s approval for proposed changes, and ensure appropriate disclosure as may be required by law or </w:t>
      </w:r>
      <w:proofErr w:type="gramStart"/>
      <w:r w:rsidRPr="00DA058D">
        <w:rPr>
          <w:rFonts w:ascii="Tahoma" w:hAnsi="Tahoma" w:cs="Tahoma"/>
        </w:rPr>
        <w:t>regulation;</w:t>
      </w:r>
      <w:proofErr w:type="gramEnd"/>
      <w:r w:rsidRPr="00DA058D">
        <w:rPr>
          <w:rFonts w:ascii="Tahoma" w:hAnsi="Tahoma" w:cs="Tahoma"/>
        </w:rPr>
        <w:t xml:space="preserve"> </w:t>
      </w:r>
    </w:p>
    <w:p w14:paraId="3291C074"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Evaluate the </w:t>
      </w:r>
      <w:proofErr w:type="gramStart"/>
      <w:r w:rsidRPr="00DA058D">
        <w:rPr>
          <w:rFonts w:ascii="Tahoma" w:hAnsi="Tahoma" w:cs="Tahoma"/>
        </w:rPr>
        <w:t>committees</w:t>
      </w:r>
      <w:proofErr w:type="gramEnd"/>
      <w:r w:rsidRPr="00DA058D">
        <w:rPr>
          <w:rFonts w:ascii="Tahoma" w:hAnsi="Tahoma" w:cs="Tahoma"/>
        </w:rPr>
        <w:t xml:space="preserve"> own performance on a regular basis and that’s on quarterly basis.</w:t>
      </w:r>
    </w:p>
    <w:p w14:paraId="1C90DFA9"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Confirm annually that all responsibilities outlined in this charter have been carried out; and </w:t>
      </w:r>
    </w:p>
    <w:p w14:paraId="7CE10EBD"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 xml:space="preserve">Evaluate the committee’s and individual members’ performance on a regular basis. </w:t>
      </w:r>
    </w:p>
    <w:p w14:paraId="60FF5947" w14:textId="77777777" w:rsidR="00073BE9" w:rsidRPr="00DA058D" w:rsidRDefault="00073BE9" w:rsidP="00073BE9">
      <w:pPr>
        <w:numPr>
          <w:ilvl w:val="0"/>
          <w:numId w:val="16"/>
        </w:numPr>
        <w:spacing w:after="0" w:line="240" w:lineRule="auto"/>
        <w:jc w:val="both"/>
        <w:rPr>
          <w:rFonts w:ascii="Tahoma" w:hAnsi="Tahoma" w:cs="Tahoma"/>
        </w:rPr>
      </w:pPr>
      <w:r w:rsidRPr="00DA058D">
        <w:rPr>
          <w:rFonts w:ascii="Tahoma" w:hAnsi="Tahoma" w:cs="Tahoma"/>
        </w:rPr>
        <w:t>Perform other oversight functions as requested by the councils.</w:t>
      </w:r>
    </w:p>
    <w:p w14:paraId="3F10D2EF" w14:textId="77777777" w:rsidR="00073BE9" w:rsidRPr="00DA058D" w:rsidRDefault="00073BE9" w:rsidP="00073BE9">
      <w:pPr>
        <w:rPr>
          <w:rFonts w:ascii="Tahoma" w:hAnsi="Tahoma" w:cs="Tahoma"/>
        </w:rPr>
      </w:pPr>
    </w:p>
    <w:p w14:paraId="4F832FA2" w14:textId="0CA77124" w:rsidR="00073BE9" w:rsidRPr="00DA058D" w:rsidRDefault="00073BE9" w:rsidP="00073BE9">
      <w:pPr>
        <w:rPr>
          <w:rFonts w:ascii="Tahoma" w:hAnsi="Tahoma" w:cs="Tahoma"/>
          <w:b/>
          <w:bCs/>
          <w:sz w:val="24"/>
          <w:szCs w:val="24"/>
        </w:rPr>
      </w:pPr>
      <w:bookmarkStart w:id="34" w:name="_Toc286301356"/>
      <w:r w:rsidRPr="00DA058D">
        <w:rPr>
          <w:rFonts w:ascii="Tahoma" w:hAnsi="Tahoma" w:cs="Tahoma"/>
          <w:b/>
          <w:bCs/>
          <w:sz w:val="24"/>
          <w:szCs w:val="24"/>
        </w:rPr>
        <w:t xml:space="preserve"> </w:t>
      </w:r>
      <w:bookmarkStart w:id="35" w:name="_Toc324932915"/>
      <w:r w:rsidRPr="00DA058D">
        <w:rPr>
          <w:rFonts w:ascii="Tahoma" w:hAnsi="Tahoma" w:cs="Tahoma"/>
          <w:b/>
          <w:bCs/>
          <w:sz w:val="24"/>
          <w:szCs w:val="24"/>
        </w:rPr>
        <w:t>EVALUATION OF THE PERFORMANCE OF AUDIT COMMITTEE</w:t>
      </w:r>
      <w:bookmarkEnd w:id="34"/>
      <w:bookmarkEnd w:id="35"/>
    </w:p>
    <w:p w14:paraId="0EAC2BA0" w14:textId="77777777" w:rsidR="00DA058D" w:rsidRPr="00DA058D" w:rsidRDefault="00DA058D" w:rsidP="00073BE9">
      <w:pPr>
        <w:rPr>
          <w:rFonts w:ascii="Tahoma" w:hAnsi="Tahoma" w:cs="Tahoma"/>
          <w:b/>
          <w:bCs/>
          <w:sz w:val="24"/>
          <w:szCs w:val="24"/>
        </w:rPr>
      </w:pPr>
    </w:p>
    <w:p w14:paraId="76C72992" w14:textId="77777777" w:rsidR="00073BE9" w:rsidRPr="00DA058D" w:rsidRDefault="00073BE9" w:rsidP="00073BE9">
      <w:pPr>
        <w:jc w:val="both"/>
        <w:rPr>
          <w:rFonts w:ascii="Tahoma" w:hAnsi="Tahoma" w:cs="Tahoma"/>
        </w:rPr>
      </w:pPr>
      <w:r w:rsidRPr="00DA058D">
        <w:rPr>
          <w:rFonts w:ascii="Tahoma" w:hAnsi="Tahoma" w:cs="Tahoma"/>
        </w:rPr>
        <w:t>Accounting Officer and Council should evaluate the performance of Audit Committee on an annual basis.</w:t>
      </w:r>
    </w:p>
    <w:p w14:paraId="5192D06E" w14:textId="77777777" w:rsidR="00073BE9" w:rsidRPr="00DA058D" w:rsidRDefault="00073BE9" w:rsidP="00073BE9">
      <w:pPr>
        <w:jc w:val="both"/>
        <w:rPr>
          <w:rFonts w:ascii="Tahoma" w:hAnsi="Tahoma" w:cs="Tahoma"/>
        </w:rPr>
      </w:pPr>
      <w:r w:rsidRPr="00DA058D">
        <w:rPr>
          <w:rFonts w:ascii="Tahoma" w:hAnsi="Tahoma" w:cs="Tahoma"/>
        </w:rPr>
        <w:t>The chairperson of the Audit Committee should evaluate the performance of individual committee members and the Council should evaluate the performance of the Chairperson.</w:t>
      </w:r>
    </w:p>
    <w:p w14:paraId="252962BB" w14:textId="77777777" w:rsidR="00073BE9" w:rsidRPr="00DA058D" w:rsidRDefault="00073BE9" w:rsidP="00073BE9">
      <w:pPr>
        <w:rPr>
          <w:rFonts w:ascii="Tahoma" w:hAnsi="Tahoma" w:cs="Tahoma"/>
        </w:rPr>
      </w:pPr>
      <w:r w:rsidRPr="00DA058D">
        <w:rPr>
          <w:rFonts w:ascii="Tahoma" w:hAnsi="Tahoma" w:cs="Tahoma"/>
        </w:rPr>
        <w:t xml:space="preserve">The result of the performance should be reviewed by the Audit Committee and Council </w:t>
      </w:r>
      <w:proofErr w:type="gramStart"/>
      <w:r w:rsidRPr="00DA058D">
        <w:rPr>
          <w:rFonts w:ascii="Tahoma" w:hAnsi="Tahoma" w:cs="Tahoma"/>
        </w:rPr>
        <w:t>in order to</w:t>
      </w:r>
      <w:proofErr w:type="gramEnd"/>
      <w:r w:rsidRPr="00DA058D">
        <w:rPr>
          <w:rFonts w:ascii="Tahoma" w:hAnsi="Tahoma" w:cs="Tahoma"/>
        </w:rPr>
        <w:t xml:space="preserve"> determine what actions, if necessary, are to be taken. </w:t>
      </w:r>
    </w:p>
    <w:p w14:paraId="3FBD6BC3" w14:textId="77777777" w:rsidR="00073BE9" w:rsidRPr="00DA058D" w:rsidRDefault="00073BE9" w:rsidP="00073BE9">
      <w:pPr>
        <w:tabs>
          <w:tab w:val="left" w:pos="0"/>
        </w:tabs>
        <w:jc w:val="both"/>
        <w:rPr>
          <w:rFonts w:ascii="Tahoma" w:hAnsi="Tahoma" w:cs="Tahoma"/>
        </w:rPr>
      </w:pPr>
      <w:r w:rsidRPr="00DA058D">
        <w:rPr>
          <w:rFonts w:ascii="Tahoma" w:hAnsi="Tahoma" w:cs="Tahoma"/>
        </w:rPr>
        <w:t>Members who do not meet the performance assessment and criteria should be removed from the committee.</w:t>
      </w:r>
    </w:p>
    <w:sectPr w:rsidR="00073BE9" w:rsidRPr="00DA058D" w:rsidSect="00DF7267">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07D"/>
    <w:multiLevelType w:val="hybridMultilevel"/>
    <w:tmpl w:val="DC9CD9FE"/>
    <w:lvl w:ilvl="0" w:tplc="CA9C6C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E626F9"/>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7C8C"/>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6538E"/>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55CA6"/>
    <w:multiLevelType w:val="hybridMultilevel"/>
    <w:tmpl w:val="0BECDB18"/>
    <w:lvl w:ilvl="0" w:tplc="1C090001">
      <w:start w:val="1"/>
      <w:numFmt w:val="bullet"/>
      <w:lvlText w:val=""/>
      <w:lvlJc w:val="left"/>
      <w:pPr>
        <w:ind w:left="1446" w:hanging="360"/>
      </w:pPr>
      <w:rPr>
        <w:rFonts w:ascii="Symbol" w:hAnsi="Symbol" w:hint="default"/>
      </w:rPr>
    </w:lvl>
    <w:lvl w:ilvl="1" w:tplc="1C090003">
      <w:start w:val="1"/>
      <w:numFmt w:val="bullet"/>
      <w:lvlText w:val="o"/>
      <w:lvlJc w:val="left"/>
      <w:pPr>
        <w:ind w:left="2166" w:hanging="360"/>
      </w:pPr>
      <w:rPr>
        <w:rFonts w:ascii="Courier New" w:hAnsi="Courier New" w:cs="Courier New" w:hint="default"/>
      </w:rPr>
    </w:lvl>
    <w:lvl w:ilvl="2" w:tplc="1C090005" w:tentative="1">
      <w:start w:val="1"/>
      <w:numFmt w:val="bullet"/>
      <w:lvlText w:val=""/>
      <w:lvlJc w:val="left"/>
      <w:pPr>
        <w:ind w:left="2886" w:hanging="360"/>
      </w:pPr>
      <w:rPr>
        <w:rFonts w:ascii="Wingdings" w:hAnsi="Wingdings" w:hint="default"/>
      </w:rPr>
    </w:lvl>
    <w:lvl w:ilvl="3" w:tplc="1C090001" w:tentative="1">
      <w:start w:val="1"/>
      <w:numFmt w:val="bullet"/>
      <w:lvlText w:val=""/>
      <w:lvlJc w:val="left"/>
      <w:pPr>
        <w:ind w:left="3606" w:hanging="360"/>
      </w:pPr>
      <w:rPr>
        <w:rFonts w:ascii="Symbol" w:hAnsi="Symbol" w:hint="default"/>
      </w:rPr>
    </w:lvl>
    <w:lvl w:ilvl="4" w:tplc="1C090003" w:tentative="1">
      <w:start w:val="1"/>
      <w:numFmt w:val="bullet"/>
      <w:lvlText w:val="o"/>
      <w:lvlJc w:val="left"/>
      <w:pPr>
        <w:ind w:left="4326" w:hanging="360"/>
      </w:pPr>
      <w:rPr>
        <w:rFonts w:ascii="Courier New" w:hAnsi="Courier New" w:cs="Courier New" w:hint="default"/>
      </w:rPr>
    </w:lvl>
    <w:lvl w:ilvl="5" w:tplc="1C090005" w:tentative="1">
      <w:start w:val="1"/>
      <w:numFmt w:val="bullet"/>
      <w:lvlText w:val=""/>
      <w:lvlJc w:val="left"/>
      <w:pPr>
        <w:ind w:left="5046" w:hanging="360"/>
      </w:pPr>
      <w:rPr>
        <w:rFonts w:ascii="Wingdings" w:hAnsi="Wingdings" w:hint="default"/>
      </w:rPr>
    </w:lvl>
    <w:lvl w:ilvl="6" w:tplc="1C090001" w:tentative="1">
      <w:start w:val="1"/>
      <w:numFmt w:val="bullet"/>
      <w:lvlText w:val=""/>
      <w:lvlJc w:val="left"/>
      <w:pPr>
        <w:ind w:left="5766" w:hanging="360"/>
      </w:pPr>
      <w:rPr>
        <w:rFonts w:ascii="Symbol" w:hAnsi="Symbol" w:hint="default"/>
      </w:rPr>
    </w:lvl>
    <w:lvl w:ilvl="7" w:tplc="1C090003" w:tentative="1">
      <w:start w:val="1"/>
      <w:numFmt w:val="bullet"/>
      <w:lvlText w:val="o"/>
      <w:lvlJc w:val="left"/>
      <w:pPr>
        <w:ind w:left="6486" w:hanging="360"/>
      </w:pPr>
      <w:rPr>
        <w:rFonts w:ascii="Courier New" w:hAnsi="Courier New" w:cs="Courier New" w:hint="default"/>
      </w:rPr>
    </w:lvl>
    <w:lvl w:ilvl="8" w:tplc="1C090005" w:tentative="1">
      <w:start w:val="1"/>
      <w:numFmt w:val="bullet"/>
      <w:lvlText w:val=""/>
      <w:lvlJc w:val="left"/>
      <w:pPr>
        <w:ind w:left="7206" w:hanging="360"/>
      </w:pPr>
      <w:rPr>
        <w:rFonts w:ascii="Wingdings" w:hAnsi="Wingdings" w:hint="default"/>
      </w:rPr>
    </w:lvl>
  </w:abstractNum>
  <w:abstractNum w:abstractNumId="5" w15:restartNumberingAfterBreak="0">
    <w:nsid w:val="2583394E"/>
    <w:multiLevelType w:val="hybridMultilevel"/>
    <w:tmpl w:val="2D2A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208A3"/>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50381"/>
    <w:multiLevelType w:val="hybridMultilevel"/>
    <w:tmpl w:val="FD7C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322D4"/>
    <w:multiLevelType w:val="hybridMultilevel"/>
    <w:tmpl w:val="54720776"/>
    <w:lvl w:ilvl="0" w:tplc="1C090001">
      <w:start w:val="1"/>
      <w:numFmt w:val="bullet"/>
      <w:lvlText w:val=""/>
      <w:lvlJc w:val="left"/>
      <w:pPr>
        <w:ind w:left="709" w:hanging="360"/>
      </w:pPr>
      <w:rPr>
        <w:rFonts w:ascii="Symbol" w:hAnsi="Symbol"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9" w15:restartNumberingAfterBreak="0">
    <w:nsid w:val="391D4F01"/>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F4D34"/>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F0C96"/>
    <w:multiLevelType w:val="hybridMultilevel"/>
    <w:tmpl w:val="1F986F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7356554"/>
    <w:multiLevelType w:val="hybridMultilevel"/>
    <w:tmpl w:val="46B279FE"/>
    <w:lvl w:ilvl="0" w:tplc="1C090001">
      <w:start w:val="1"/>
      <w:numFmt w:val="bullet"/>
      <w:lvlText w:val=""/>
      <w:lvlJc w:val="left"/>
      <w:pPr>
        <w:ind w:left="709" w:hanging="360"/>
      </w:pPr>
      <w:rPr>
        <w:rFonts w:ascii="Symbol" w:hAnsi="Symbol"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13" w15:restartNumberingAfterBreak="0">
    <w:nsid w:val="574C35B6"/>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33A34"/>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12C17"/>
    <w:multiLevelType w:val="hybridMultilevel"/>
    <w:tmpl w:val="4F62BFA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16" w15:restartNumberingAfterBreak="0">
    <w:nsid w:val="742B7766"/>
    <w:multiLevelType w:val="multilevel"/>
    <w:tmpl w:val="13AABA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4954170"/>
    <w:multiLevelType w:val="hybridMultilevel"/>
    <w:tmpl w:val="EFDECAE6"/>
    <w:lvl w:ilvl="0" w:tplc="73F601C8">
      <w:start w:val="1"/>
      <w:numFmt w:val="lowerLetter"/>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2033019">
    <w:abstractNumId w:val="7"/>
  </w:num>
  <w:num w:numId="2" w16cid:durableId="1857499990">
    <w:abstractNumId w:val="5"/>
  </w:num>
  <w:num w:numId="3" w16cid:durableId="2094204744">
    <w:abstractNumId w:val="0"/>
  </w:num>
  <w:num w:numId="4" w16cid:durableId="1945570928">
    <w:abstractNumId w:val="8"/>
  </w:num>
  <w:num w:numId="5" w16cid:durableId="1335916365">
    <w:abstractNumId w:val="11"/>
  </w:num>
  <w:num w:numId="6" w16cid:durableId="1992247696">
    <w:abstractNumId w:val="4"/>
  </w:num>
  <w:num w:numId="7" w16cid:durableId="518279049">
    <w:abstractNumId w:val="12"/>
  </w:num>
  <w:num w:numId="8" w16cid:durableId="455955053">
    <w:abstractNumId w:val="15"/>
  </w:num>
  <w:num w:numId="9" w16cid:durableId="53623468">
    <w:abstractNumId w:val="17"/>
  </w:num>
  <w:num w:numId="10" w16cid:durableId="459884033">
    <w:abstractNumId w:val="1"/>
  </w:num>
  <w:num w:numId="11" w16cid:durableId="1719817069">
    <w:abstractNumId w:val="2"/>
  </w:num>
  <w:num w:numId="12" w16cid:durableId="1074813447">
    <w:abstractNumId w:val="3"/>
  </w:num>
  <w:num w:numId="13" w16cid:durableId="52699386">
    <w:abstractNumId w:val="6"/>
  </w:num>
  <w:num w:numId="14" w16cid:durableId="1469661839">
    <w:abstractNumId w:val="13"/>
  </w:num>
  <w:num w:numId="15" w16cid:durableId="628556330">
    <w:abstractNumId w:val="9"/>
  </w:num>
  <w:num w:numId="16" w16cid:durableId="1057973709">
    <w:abstractNumId w:val="14"/>
  </w:num>
  <w:num w:numId="17" w16cid:durableId="1130974234">
    <w:abstractNumId w:val="10"/>
  </w:num>
  <w:num w:numId="18" w16cid:durableId="940572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47"/>
    <w:rsid w:val="00073BE9"/>
    <w:rsid w:val="008754CE"/>
    <w:rsid w:val="00916ADC"/>
    <w:rsid w:val="00A035BD"/>
    <w:rsid w:val="00A42147"/>
    <w:rsid w:val="00CC2D40"/>
    <w:rsid w:val="00DA058D"/>
    <w:rsid w:val="00D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9A3F"/>
  <w15:chartTrackingRefBased/>
  <w15:docId w15:val="{8922FA6D-5D1C-4D4F-B59D-65571E00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147"/>
    <w:pPr>
      <w:keepNext/>
      <w:shd w:val="clear" w:color="auto" w:fill="0000FF"/>
      <w:spacing w:before="240" w:after="120" w:line="276" w:lineRule="auto"/>
      <w:jc w:val="center"/>
      <w:outlineLvl w:val="0"/>
    </w:pPr>
    <w:rPr>
      <w:rFonts w:ascii="Arial" w:eastAsia="MS Mincho" w:hAnsi="Arial" w:cs="Times New Roman"/>
      <w:b/>
      <w:bCs/>
      <w:sz w:val="26"/>
      <w:szCs w:val="32"/>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147"/>
    <w:pPr>
      <w:ind w:left="720"/>
      <w:contextualSpacing/>
    </w:pPr>
  </w:style>
  <w:style w:type="character" w:customStyle="1" w:styleId="Heading1Char">
    <w:name w:val="Heading 1 Char"/>
    <w:basedOn w:val="DefaultParagraphFont"/>
    <w:link w:val="Heading1"/>
    <w:rsid w:val="00A42147"/>
    <w:rPr>
      <w:rFonts w:ascii="Arial" w:eastAsia="MS Mincho" w:hAnsi="Arial" w:cs="Times New Roman"/>
      <w:b/>
      <w:bCs/>
      <w:sz w:val="26"/>
      <w:szCs w:val="32"/>
      <w:shd w:val="clear" w:color="auto" w:fill="0000FF"/>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Bafana Sindane</dc:creator>
  <cp:keywords/>
  <dc:description/>
  <cp:lastModifiedBy>Sibusiso Morare</cp:lastModifiedBy>
  <cp:revision>2</cp:revision>
  <dcterms:created xsi:type="dcterms:W3CDTF">2023-01-30T09:56:00Z</dcterms:created>
  <dcterms:modified xsi:type="dcterms:W3CDTF">2023-01-30T09:56:00Z</dcterms:modified>
</cp:coreProperties>
</file>