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D31F" w14:textId="77777777" w:rsidR="00EC0B1B" w:rsidRDefault="00EC0B1B" w:rsidP="00EC0B1B">
      <w:pPr>
        <w:tabs>
          <w:tab w:val="left" w:pos="709"/>
        </w:tabs>
        <w:ind w:left="709" w:hanging="349"/>
        <w:jc w:val="both"/>
      </w:pPr>
    </w:p>
    <w:p w14:paraId="5C4A9AE6" w14:textId="7C1D41C4" w:rsidR="00EC0B1B" w:rsidRDefault="00EC0B1B" w:rsidP="00EC0B1B">
      <w:pPr>
        <w:pStyle w:val="ListParagraph"/>
        <w:numPr>
          <w:ilvl w:val="0"/>
          <w:numId w:val="1"/>
        </w:numPr>
        <w:tabs>
          <w:tab w:val="left" w:pos="709"/>
        </w:tabs>
        <w:ind w:left="709" w:hanging="349"/>
        <w:jc w:val="both"/>
        <w:rPr>
          <w:rFonts w:ascii="Tahoma" w:hAnsi="Tahoma" w:cs="Tahoma"/>
          <w:b/>
        </w:rPr>
      </w:pPr>
      <w:r>
        <w:rPr>
          <w:rFonts w:ascii="Tahoma" w:hAnsi="Tahoma" w:cs="Tahoma"/>
          <w:b/>
        </w:rPr>
        <w:t>COMPOSITION OF THE RISK MANAGEMENT COMMITTEE</w:t>
      </w:r>
    </w:p>
    <w:p w14:paraId="0970FB96" w14:textId="4E7054E0" w:rsidR="00EC0B1B" w:rsidRDefault="00EC0B1B" w:rsidP="00EC0B1B">
      <w:pPr>
        <w:pStyle w:val="ListParagraph"/>
        <w:tabs>
          <w:tab w:val="left" w:pos="709"/>
        </w:tabs>
        <w:ind w:left="709"/>
        <w:jc w:val="both"/>
        <w:rPr>
          <w:rFonts w:ascii="Tahoma" w:hAnsi="Tahoma" w:cs="Tahoma"/>
          <w:b/>
        </w:rPr>
      </w:pPr>
    </w:p>
    <w:p w14:paraId="5FF36F42" w14:textId="5C38AE0F" w:rsidR="00EC0B1B" w:rsidRDefault="00EC0B1B" w:rsidP="00EC0B1B">
      <w:pPr>
        <w:pStyle w:val="ListParagraph"/>
        <w:numPr>
          <w:ilvl w:val="0"/>
          <w:numId w:val="2"/>
        </w:numPr>
        <w:tabs>
          <w:tab w:val="left" w:pos="1276"/>
        </w:tabs>
        <w:jc w:val="both"/>
        <w:rPr>
          <w:rFonts w:ascii="Tahoma" w:hAnsi="Tahoma" w:cs="Tahoma"/>
        </w:rPr>
      </w:pPr>
      <w:r>
        <w:rPr>
          <w:rFonts w:ascii="Tahoma" w:hAnsi="Tahoma" w:cs="Tahoma"/>
        </w:rPr>
        <w:t>External/ Independent Chairperson</w:t>
      </w:r>
    </w:p>
    <w:p w14:paraId="1C127C8C" w14:textId="76B02E76" w:rsidR="00EC0B1B" w:rsidRPr="00332A96" w:rsidRDefault="00EC0B1B" w:rsidP="00EC0B1B">
      <w:pPr>
        <w:pStyle w:val="ListParagraph"/>
        <w:numPr>
          <w:ilvl w:val="0"/>
          <w:numId w:val="2"/>
        </w:numPr>
        <w:tabs>
          <w:tab w:val="left" w:pos="1276"/>
        </w:tabs>
        <w:jc w:val="both"/>
        <w:rPr>
          <w:rFonts w:ascii="Tahoma" w:hAnsi="Tahoma" w:cs="Tahoma"/>
        </w:rPr>
      </w:pPr>
      <w:r w:rsidRPr="00332A96">
        <w:rPr>
          <w:rFonts w:ascii="Tahoma" w:hAnsi="Tahoma" w:cs="Tahoma"/>
        </w:rPr>
        <w:t xml:space="preserve">Chief Risk Officer provides secretariat services and expert </w:t>
      </w:r>
      <w:proofErr w:type="gramStart"/>
      <w:r w:rsidRPr="00332A96">
        <w:rPr>
          <w:rFonts w:ascii="Tahoma" w:hAnsi="Tahoma" w:cs="Tahoma"/>
        </w:rPr>
        <w:t>advice;</w:t>
      </w:r>
      <w:proofErr w:type="gramEnd"/>
    </w:p>
    <w:p w14:paraId="0C40D46A" w14:textId="77777777" w:rsidR="00EC0B1B" w:rsidRPr="00332A96" w:rsidRDefault="00EC0B1B" w:rsidP="00EC0B1B">
      <w:pPr>
        <w:pStyle w:val="ListParagraph"/>
        <w:numPr>
          <w:ilvl w:val="0"/>
          <w:numId w:val="2"/>
        </w:numPr>
        <w:tabs>
          <w:tab w:val="left" w:pos="1276"/>
        </w:tabs>
        <w:jc w:val="both"/>
        <w:rPr>
          <w:rFonts w:ascii="Tahoma" w:hAnsi="Tahoma" w:cs="Tahoma"/>
        </w:rPr>
      </w:pPr>
      <w:r w:rsidRPr="00332A96">
        <w:rPr>
          <w:rFonts w:ascii="Tahoma" w:hAnsi="Tahoma" w:cs="Tahoma"/>
        </w:rPr>
        <w:t>A member of the Audit Committee</w:t>
      </w:r>
    </w:p>
    <w:p w14:paraId="2E2199E9" w14:textId="21D044D9" w:rsidR="00EC0B1B" w:rsidRPr="00332A96" w:rsidRDefault="00EC0B1B" w:rsidP="00EC0B1B">
      <w:pPr>
        <w:pStyle w:val="ListParagraph"/>
        <w:numPr>
          <w:ilvl w:val="0"/>
          <w:numId w:val="2"/>
        </w:numPr>
        <w:tabs>
          <w:tab w:val="left" w:pos="1276"/>
        </w:tabs>
        <w:jc w:val="both"/>
        <w:rPr>
          <w:rFonts w:ascii="Tahoma" w:hAnsi="Tahoma" w:cs="Tahoma"/>
        </w:rPr>
      </w:pPr>
      <w:r>
        <w:rPr>
          <w:rFonts w:ascii="Tahoma" w:hAnsi="Tahoma" w:cs="Tahoma"/>
        </w:rPr>
        <w:t xml:space="preserve">Divisional </w:t>
      </w:r>
      <w:r w:rsidRPr="00332A96">
        <w:rPr>
          <w:rFonts w:ascii="Tahoma" w:hAnsi="Tahoma" w:cs="Tahoma"/>
        </w:rPr>
        <w:t>Manager: ICT</w:t>
      </w:r>
    </w:p>
    <w:p w14:paraId="5A1A4A59" w14:textId="614916ED" w:rsidR="00EC0B1B" w:rsidRPr="00332A96" w:rsidRDefault="00EC0B1B" w:rsidP="00EC0B1B">
      <w:pPr>
        <w:pStyle w:val="ListParagraph"/>
        <w:numPr>
          <w:ilvl w:val="0"/>
          <w:numId w:val="2"/>
        </w:numPr>
        <w:tabs>
          <w:tab w:val="left" w:pos="1276"/>
        </w:tabs>
        <w:jc w:val="both"/>
        <w:rPr>
          <w:rFonts w:ascii="Tahoma" w:hAnsi="Tahoma" w:cs="Tahoma"/>
        </w:rPr>
      </w:pPr>
      <w:r>
        <w:rPr>
          <w:rFonts w:ascii="Tahoma" w:hAnsi="Tahoma" w:cs="Tahoma"/>
        </w:rPr>
        <w:t xml:space="preserve">Divisional </w:t>
      </w:r>
      <w:r w:rsidRPr="00332A96">
        <w:rPr>
          <w:rFonts w:ascii="Tahoma" w:hAnsi="Tahoma" w:cs="Tahoma"/>
        </w:rPr>
        <w:t xml:space="preserve">Manager: Performance Management </w:t>
      </w:r>
    </w:p>
    <w:p w14:paraId="3DA315D8" w14:textId="7E0A9BF7" w:rsidR="00EC0B1B" w:rsidRPr="00332A96" w:rsidRDefault="00EC0B1B" w:rsidP="00EC0B1B">
      <w:pPr>
        <w:pStyle w:val="ListParagraph"/>
        <w:numPr>
          <w:ilvl w:val="0"/>
          <w:numId w:val="2"/>
        </w:numPr>
        <w:tabs>
          <w:tab w:val="left" w:pos="1276"/>
        </w:tabs>
        <w:jc w:val="both"/>
        <w:rPr>
          <w:rFonts w:ascii="Tahoma" w:hAnsi="Tahoma" w:cs="Tahoma"/>
        </w:rPr>
      </w:pPr>
      <w:r>
        <w:rPr>
          <w:rFonts w:ascii="Tahoma" w:hAnsi="Tahoma" w:cs="Tahoma"/>
        </w:rPr>
        <w:t>Divisional</w:t>
      </w:r>
      <w:r w:rsidRPr="00332A96">
        <w:rPr>
          <w:rFonts w:ascii="Tahoma" w:hAnsi="Tahoma" w:cs="Tahoma"/>
        </w:rPr>
        <w:t xml:space="preserve"> Manager: IDP</w:t>
      </w:r>
    </w:p>
    <w:p w14:paraId="3489CD52" w14:textId="77777777" w:rsidR="00EC0B1B" w:rsidRPr="00332A96" w:rsidRDefault="00EC0B1B" w:rsidP="00EC0B1B">
      <w:pPr>
        <w:pStyle w:val="ListParagraph"/>
        <w:numPr>
          <w:ilvl w:val="0"/>
          <w:numId w:val="2"/>
        </w:numPr>
        <w:tabs>
          <w:tab w:val="left" w:pos="1276"/>
        </w:tabs>
        <w:jc w:val="both"/>
        <w:rPr>
          <w:rFonts w:ascii="Tahoma" w:hAnsi="Tahoma" w:cs="Tahoma"/>
        </w:rPr>
      </w:pPr>
      <w:r w:rsidRPr="00332A96">
        <w:rPr>
          <w:rFonts w:ascii="Tahoma" w:hAnsi="Tahoma" w:cs="Tahoma"/>
        </w:rPr>
        <w:t>Legal Advisor</w:t>
      </w:r>
    </w:p>
    <w:p w14:paraId="1AEEB077" w14:textId="77777777" w:rsidR="00EC0B1B" w:rsidRDefault="00EC0B1B" w:rsidP="00EC0B1B">
      <w:pPr>
        <w:pStyle w:val="ListParagraph"/>
        <w:numPr>
          <w:ilvl w:val="0"/>
          <w:numId w:val="2"/>
        </w:numPr>
        <w:tabs>
          <w:tab w:val="left" w:pos="1276"/>
        </w:tabs>
        <w:jc w:val="both"/>
        <w:rPr>
          <w:rFonts w:ascii="Tahoma" w:hAnsi="Tahoma" w:cs="Tahoma"/>
        </w:rPr>
      </w:pPr>
      <w:r w:rsidRPr="00332A96">
        <w:rPr>
          <w:rFonts w:ascii="Tahoma" w:hAnsi="Tahoma" w:cs="Tahoma"/>
        </w:rPr>
        <w:t xml:space="preserve">Chief Audit Executive will provide advisory </w:t>
      </w:r>
      <w:proofErr w:type="gramStart"/>
      <w:r w:rsidRPr="00332A96">
        <w:rPr>
          <w:rFonts w:ascii="Tahoma" w:hAnsi="Tahoma" w:cs="Tahoma"/>
        </w:rPr>
        <w:t>services;</w:t>
      </w:r>
      <w:proofErr w:type="gramEnd"/>
    </w:p>
    <w:p w14:paraId="2F1757C4" w14:textId="61726DBA" w:rsidR="00EC0B1B" w:rsidRPr="00EC0B1B" w:rsidRDefault="00EC0B1B" w:rsidP="00EC0B1B">
      <w:pPr>
        <w:pStyle w:val="ListParagraph"/>
        <w:numPr>
          <w:ilvl w:val="0"/>
          <w:numId w:val="2"/>
        </w:numPr>
        <w:tabs>
          <w:tab w:val="left" w:pos="1276"/>
        </w:tabs>
        <w:jc w:val="both"/>
        <w:rPr>
          <w:rFonts w:ascii="Tahoma" w:hAnsi="Tahoma" w:cs="Tahoma"/>
        </w:rPr>
      </w:pPr>
      <w:r w:rsidRPr="00EC0B1B">
        <w:rPr>
          <w:rFonts w:ascii="Tahoma" w:hAnsi="Tahoma" w:cs="Tahoma"/>
        </w:rPr>
        <w:t>Other members of management or any other person who may be co-opted to provide specialist skills and advice inclusive of stakeholder departments such as the Provincial Treasury, Provincial Department Co-operative Governance and Traditional Affairs and the District</w:t>
      </w:r>
    </w:p>
    <w:p w14:paraId="747A0A20" w14:textId="1469F8D6" w:rsidR="00EC0B1B" w:rsidRDefault="00EC0B1B" w:rsidP="00EC0B1B">
      <w:pPr>
        <w:pStyle w:val="ListParagraph"/>
        <w:tabs>
          <w:tab w:val="left" w:pos="709"/>
        </w:tabs>
        <w:ind w:left="709"/>
        <w:jc w:val="both"/>
        <w:rPr>
          <w:rFonts w:ascii="Tahoma" w:hAnsi="Tahoma" w:cs="Tahoma"/>
          <w:b/>
        </w:rPr>
      </w:pPr>
    </w:p>
    <w:p w14:paraId="41B41432" w14:textId="352556A7" w:rsidR="00EC0B1B" w:rsidRPr="00332A96" w:rsidRDefault="00EC0B1B" w:rsidP="00EC0B1B">
      <w:pPr>
        <w:pStyle w:val="ListParagraph"/>
        <w:numPr>
          <w:ilvl w:val="0"/>
          <w:numId w:val="1"/>
        </w:numPr>
        <w:tabs>
          <w:tab w:val="left" w:pos="709"/>
        </w:tabs>
        <w:ind w:left="709" w:hanging="349"/>
        <w:jc w:val="both"/>
        <w:rPr>
          <w:rFonts w:ascii="Tahoma" w:hAnsi="Tahoma" w:cs="Tahoma"/>
          <w:b/>
        </w:rPr>
      </w:pPr>
      <w:r w:rsidRPr="00332A96">
        <w:rPr>
          <w:rFonts w:ascii="Tahoma" w:hAnsi="Tahoma" w:cs="Tahoma"/>
          <w:b/>
        </w:rPr>
        <w:t>ROLES AND RESPONSIBILITIES</w:t>
      </w:r>
    </w:p>
    <w:p w14:paraId="34778FDE" w14:textId="77777777" w:rsidR="00EC0B1B" w:rsidRPr="00332A96" w:rsidRDefault="00EC0B1B" w:rsidP="00EC0B1B">
      <w:pPr>
        <w:pStyle w:val="ListParagraph"/>
        <w:tabs>
          <w:tab w:val="left" w:pos="3314"/>
        </w:tabs>
        <w:ind w:left="709"/>
        <w:jc w:val="both"/>
        <w:rPr>
          <w:rFonts w:ascii="Tahoma" w:hAnsi="Tahoma" w:cs="Tahoma"/>
          <w:b/>
        </w:rPr>
      </w:pPr>
    </w:p>
    <w:p w14:paraId="69D6F8FC" w14:textId="77777777" w:rsidR="00EC0B1B" w:rsidRPr="00332A96" w:rsidRDefault="00EC0B1B" w:rsidP="00EC0B1B">
      <w:pPr>
        <w:pStyle w:val="ListParagraph"/>
        <w:tabs>
          <w:tab w:val="left" w:pos="3314"/>
        </w:tabs>
        <w:ind w:left="709"/>
        <w:jc w:val="both"/>
        <w:rPr>
          <w:rFonts w:ascii="Tahoma" w:hAnsi="Tahoma" w:cs="Tahoma"/>
          <w:b/>
        </w:rPr>
      </w:pPr>
      <w:r w:rsidRPr="00332A96">
        <w:rPr>
          <w:rFonts w:ascii="Tahoma" w:hAnsi="Tahoma" w:cs="Tahoma"/>
          <w:b/>
        </w:rPr>
        <w:t>The duties of the Committee shall be to:</w:t>
      </w:r>
    </w:p>
    <w:p w14:paraId="771AC45E" w14:textId="77777777" w:rsidR="00EC0B1B" w:rsidRPr="00332A96" w:rsidRDefault="00EC0B1B" w:rsidP="00EC0B1B">
      <w:pPr>
        <w:pStyle w:val="ListParagraph"/>
        <w:tabs>
          <w:tab w:val="left" w:pos="3314"/>
        </w:tabs>
        <w:ind w:left="709"/>
        <w:rPr>
          <w:rFonts w:ascii="Tahoma" w:hAnsi="Tahoma" w:cs="Tahoma"/>
        </w:rPr>
      </w:pPr>
    </w:p>
    <w:p w14:paraId="58EC4EC5"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 xml:space="preserve">Review the Risk Management Policy and Strategy and recommend for approval by the Accounting </w:t>
      </w:r>
      <w:proofErr w:type="gramStart"/>
      <w:r w:rsidRPr="00332A96">
        <w:rPr>
          <w:rFonts w:ascii="Tahoma" w:hAnsi="Tahoma" w:cs="Tahoma"/>
        </w:rPr>
        <w:t>Officer;</w:t>
      </w:r>
      <w:proofErr w:type="gramEnd"/>
    </w:p>
    <w:p w14:paraId="7C96C8E2" w14:textId="77777777" w:rsidR="00EC0B1B" w:rsidRPr="00332A96" w:rsidRDefault="00EC0B1B" w:rsidP="00EC0B1B">
      <w:pPr>
        <w:pStyle w:val="ListParagraph"/>
        <w:tabs>
          <w:tab w:val="left" w:pos="1276"/>
        </w:tabs>
        <w:ind w:left="1279"/>
        <w:jc w:val="both"/>
        <w:rPr>
          <w:rFonts w:ascii="Tahoma" w:hAnsi="Tahoma" w:cs="Tahoma"/>
        </w:rPr>
      </w:pPr>
    </w:p>
    <w:p w14:paraId="3FA586D4"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 xml:space="preserve">Review the risk appetite and tolerance and recommend for approval by the Accounting </w:t>
      </w:r>
      <w:proofErr w:type="gramStart"/>
      <w:r w:rsidRPr="00332A96">
        <w:rPr>
          <w:rFonts w:ascii="Tahoma" w:hAnsi="Tahoma" w:cs="Tahoma"/>
        </w:rPr>
        <w:t>Officer;</w:t>
      </w:r>
      <w:proofErr w:type="gramEnd"/>
    </w:p>
    <w:p w14:paraId="4C324F40" w14:textId="77777777" w:rsidR="00EC0B1B" w:rsidRPr="00332A96" w:rsidRDefault="00EC0B1B" w:rsidP="00EC0B1B">
      <w:pPr>
        <w:pStyle w:val="ListParagraph"/>
        <w:tabs>
          <w:tab w:val="left" w:pos="1276"/>
        </w:tabs>
        <w:ind w:left="1279"/>
        <w:jc w:val="both"/>
        <w:rPr>
          <w:rFonts w:ascii="Tahoma" w:hAnsi="Tahoma" w:cs="Tahoma"/>
        </w:rPr>
      </w:pPr>
    </w:p>
    <w:p w14:paraId="41173B18"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 xml:space="preserve">Review the institution’s risk identification and assessment methodologies to obtain reasonable assurance of the completeness and accuracy of the risk </w:t>
      </w:r>
      <w:proofErr w:type="gramStart"/>
      <w:r w:rsidRPr="00332A96">
        <w:rPr>
          <w:rFonts w:ascii="Tahoma" w:hAnsi="Tahoma" w:cs="Tahoma"/>
        </w:rPr>
        <w:t>register;</w:t>
      </w:r>
      <w:proofErr w:type="gramEnd"/>
    </w:p>
    <w:p w14:paraId="3342D053" w14:textId="77777777" w:rsidR="00EC0B1B" w:rsidRPr="00332A96" w:rsidRDefault="00EC0B1B" w:rsidP="00EC0B1B">
      <w:pPr>
        <w:pStyle w:val="ListParagraph"/>
        <w:rPr>
          <w:rFonts w:ascii="Tahoma" w:hAnsi="Tahoma" w:cs="Tahoma"/>
        </w:rPr>
      </w:pPr>
    </w:p>
    <w:p w14:paraId="253EDA5E"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 xml:space="preserve">Evaluate the effectiveness of mitigating strategies to address the material risks of the </w:t>
      </w:r>
      <w:proofErr w:type="gramStart"/>
      <w:r w:rsidRPr="00332A96">
        <w:rPr>
          <w:rFonts w:ascii="Tahoma" w:hAnsi="Tahoma" w:cs="Tahoma"/>
        </w:rPr>
        <w:t>Institution;</w:t>
      </w:r>
      <w:proofErr w:type="gramEnd"/>
    </w:p>
    <w:p w14:paraId="774C164C" w14:textId="77777777" w:rsidR="00EC0B1B" w:rsidRPr="00332A96" w:rsidRDefault="00EC0B1B" w:rsidP="00EC0B1B">
      <w:pPr>
        <w:pStyle w:val="ListParagraph"/>
        <w:rPr>
          <w:rFonts w:ascii="Tahoma" w:hAnsi="Tahoma" w:cs="Tahoma"/>
        </w:rPr>
      </w:pPr>
    </w:p>
    <w:p w14:paraId="3D004CC2"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 xml:space="preserve">Report to the Accounting Officer any material changes to the risk profile of the </w:t>
      </w:r>
      <w:proofErr w:type="gramStart"/>
      <w:r w:rsidRPr="00332A96">
        <w:rPr>
          <w:rFonts w:ascii="Tahoma" w:hAnsi="Tahoma" w:cs="Tahoma"/>
        </w:rPr>
        <w:t>Institution;</w:t>
      </w:r>
      <w:proofErr w:type="gramEnd"/>
    </w:p>
    <w:p w14:paraId="4F8D7EB9" w14:textId="77777777" w:rsidR="00EC0B1B" w:rsidRPr="00332A96" w:rsidRDefault="00EC0B1B" w:rsidP="00EC0B1B">
      <w:pPr>
        <w:pStyle w:val="ListParagraph"/>
        <w:rPr>
          <w:rFonts w:ascii="Tahoma" w:hAnsi="Tahoma" w:cs="Tahoma"/>
        </w:rPr>
      </w:pPr>
    </w:p>
    <w:p w14:paraId="02436DA8" w14:textId="77777777" w:rsidR="00EC0B1B" w:rsidRPr="00332A96" w:rsidRDefault="00EC0B1B" w:rsidP="00EC0B1B">
      <w:pPr>
        <w:pStyle w:val="ListParagraph"/>
        <w:numPr>
          <w:ilvl w:val="1"/>
          <w:numId w:val="1"/>
        </w:numPr>
        <w:tabs>
          <w:tab w:val="left" w:pos="1276"/>
        </w:tabs>
        <w:spacing w:after="0"/>
        <w:jc w:val="both"/>
        <w:rPr>
          <w:rFonts w:ascii="Tahoma" w:hAnsi="Tahoma" w:cs="Tahoma"/>
        </w:rPr>
      </w:pPr>
      <w:r w:rsidRPr="00332A96">
        <w:rPr>
          <w:rFonts w:ascii="Tahoma" w:hAnsi="Tahoma" w:cs="Tahoma"/>
        </w:rPr>
        <w:t>Evaluate the effectiveness of the implementation of the Fraud Prevention Policy and related fraud matters;</w:t>
      </w:r>
    </w:p>
    <w:p w14:paraId="6FD26F77" w14:textId="77777777" w:rsidR="00EC0B1B" w:rsidRPr="00332A96" w:rsidRDefault="00EC0B1B" w:rsidP="00EC0B1B">
      <w:pPr>
        <w:pStyle w:val="ListParagraph"/>
        <w:tabs>
          <w:tab w:val="left" w:pos="1276"/>
        </w:tabs>
        <w:ind w:left="1279"/>
        <w:jc w:val="both"/>
        <w:rPr>
          <w:rFonts w:ascii="Tahoma" w:hAnsi="Tahoma" w:cs="Tahoma"/>
        </w:rPr>
      </w:pPr>
    </w:p>
    <w:p w14:paraId="770B133A"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 xml:space="preserve">Review any material findings and recommendations by assurance providers on the system of Risk Management and monitor that appropriate action is instituted to address the identified weaknesses; </w:t>
      </w:r>
    </w:p>
    <w:p w14:paraId="7EED97AB" w14:textId="77777777" w:rsidR="00EC0B1B" w:rsidRPr="00332A96" w:rsidRDefault="00EC0B1B" w:rsidP="00EC0B1B">
      <w:pPr>
        <w:pStyle w:val="ListParagraph"/>
        <w:rPr>
          <w:rFonts w:ascii="Tahoma" w:hAnsi="Tahoma" w:cs="Tahoma"/>
        </w:rPr>
      </w:pPr>
    </w:p>
    <w:p w14:paraId="7BE08835"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Develop goals, objectives and key performance indicators to measure the effectiveness of Risk Management activity;</w:t>
      </w:r>
    </w:p>
    <w:p w14:paraId="6FD65AA7" w14:textId="77777777" w:rsidR="00EC0B1B" w:rsidRPr="00332A96" w:rsidRDefault="00EC0B1B" w:rsidP="00EC0B1B">
      <w:pPr>
        <w:pStyle w:val="ListParagraph"/>
        <w:rPr>
          <w:rFonts w:ascii="Tahoma" w:hAnsi="Tahoma" w:cs="Tahoma"/>
        </w:rPr>
      </w:pPr>
    </w:p>
    <w:p w14:paraId="0D60AD2F" w14:textId="77777777" w:rsidR="00EC0B1B" w:rsidRPr="00332A96" w:rsidRDefault="00EC0B1B" w:rsidP="00EC0B1B">
      <w:pPr>
        <w:pStyle w:val="ListParagraph"/>
        <w:numPr>
          <w:ilvl w:val="1"/>
          <w:numId w:val="1"/>
        </w:numPr>
        <w:tabs>
          <w:tab w:val="left" w:pos="1276"/>
        </w:tabs>
        <w:jc w:val="both"/>
        <w:rPr>
          <w:rFonts w:ascii="Tahoma" w:hAnsi="Tahoma" w:cs="Tahoma"/>
        </w:rPr>
      </w:pPr>
      <w:r w:rsidRPr="00332A96">
        <w:rPr>
          <w:rFonts w:ascii="Tahoma" w:hAnsi="Tahoma" w:cs="Tahoma"/>
        </w:rPr>
        <w:t>Set out the nature, role, responsibility and authority of the Risk Management function within the Institution for approval by the Accounting Officer and oversee the performance of the Risk Management function;</w:t>
      </w:r>
    </w:p>
    <w:p w14:paraId="50E0A8EF" w14:textId="77777777" w:rsidR="00EC0B1B" w:rsidRPr="00332A96" w:rsidRDefault="00EC0B1B" w:rsidP="00EC0B1B">
      <w:pPr>
        <w:pStyle w:val="ListParagraph"/>
        <w:rPr>
          <w:rFonts w:ascii="Tahoma" w:hAnsi="Tahoma" w:cs="Tahoma"/>
        </w:rPr>
      </w:pPr>
    </w:p>
    <w:p w14:paraId="768CF16A" w14:textId="120BE73E" w:rsidR="00EC0B1B" w:rsidRDefault="00EC0B1B" w:rsidP="00EC0B1B">
      <w:pPr>
        <w:pStyle w:val="ListParagraph"/>
        <w:numPr>
          <w:ilvl w:val="1"/>
          <w:numId w:val="1"/>
        </w:numPr>
        <w:tabs>
          <w:tab w:val="left" w:pos="1276"/>
        </w:tabs>
        <w:spacing w:after="0"/>
        <w:jc w:val="both"/>
        <w:rPr>
          <w:rFonts w:ascii="Tahoma" w:hAnsi="Tahoma" w:cs="Tahoma"/>
        </w:rPr>
      </w:pPr>
      <w:r w:rsidRPr="00332A96">
        <w:rPr>
          <w:rFonts w:ascii="Tahoma" w:hAnsi="Tahoma" w:cs="Tahoma"/>
        </w:rPr>
        <w:t xml:space="preserve">Provide proper and timely reports to the Accounting Officer on the state of Risk Management, together with aspects requiring improvement accompanied by the Committee’s recommendations to address such </w:t>
      </w:r>
      <w:proofErr w:type="gramStart"/>
      <w:r w:rsidRPr="00332A96">
        <w:rPr>
          <w:rFonts w:ascii="Tahoma" w:hAnsi="Tahoma" w:cs="Tahoma"/>
        </w:rPr>
        <w:t>issues;</w:t>
      </w:r>
      <w:proofErr w:type="gramEnd"/>
    </w:p>
    <w:p w14:paraId="6DB2F031" w14:textId="77777777" w:rsidR="00EC0B1B" w:rsidRPr="00EC0B1B" w:rsidRDefault="00EC0B1B" w:rsidP="00EC0B1B">
      <w:pPr>
        <w:tabs>
          <w:tab w:val="left" w:pos="1276"/>
        </w:tabs>
        <w:spacing w:after="0"/>
        <w:jc w:val="both"/>
        <w:rPr>
          <w:rFonts w:ascii="Tahoma" w:hAnsi="Tahoma" w:cs="Tahoma"/>
        </w:rPr>
      </w:pPr>
    </w:p>
    <w:p w14:paraId="181670D6" w14:textId="77777777" w:rsidR="00EC0B1B" w:rsidRPr="00332A96" w:rsidRDefault="00EC0B1B" w:rsidP="00EC0B1B">
      <w:pPr>
        <w:pStyle w:val="ListParagraph"/>
        <w:numPr>
          <w:ilvl w:val="1"/>
          <w:numId w:val="1"/>
        </w:numPr>
        <w:tabs>
          <w:tab w:val="left" w:pos="1276"/>
        </w:tabs>
        <w:spacing w:after="0"/>
        <w:jc w:val="both"/>
        <w:rPr>
          <w:rFonts w:ascii="Tahoma" w:hAnsi="Tahoma" w:cs="Tahoma"/>
        </w:rPr>
      </w:pPr>
      <w:r w:rsidRPr="00332A96">
        <w:rPr>
          <w:rFonts w:ascii="Tahoma" w:hAnsi="Tahoma" w:cs="Tahoma"/>
        </w:rPr>
        <w:t xml:space="preserve">The Committee through its Chairperson shall report to the Audit Committee on matters of Risk </w:t>
      </w:r>
      <w:proofErr w:type="gramStart"/>
      <w:r w:rsidRPr="00332A96">
        <w:rPr>
          <w:rFonts w:ascii="Tahoma" w:hAnsi="Tahoma" w:cs="Tahoma"/>
        </w:rPr>
        <w:t>Management;</w:t>
      </w:r>
      <w:proofErr w:type="gramEnd"/>
    </w:p>
    <w:p w14:paraId="2FF38900" w14:textId="77777777" w:rsidR="00EC0B1B" w:rsidRPr="00332A96" w:rsidRDefault="00EC0B1B" w:rsidP="00EC0B1B">
      <w:pPr>
        <w:pStyle w:val="ListParagraph"/>
        <w:rPr>
          <w:rFonts w:ascii="Tahoma" w:hAnsi="Tahoma" w:cs="Tahoma"/>
        </w:rPr>
      </w:pPr>
    </w:p>
    <w:p w14:paraId="2CDB94E0" w14:textId="77777777" w:rsidR="00EC0B1B" w:rsidRPr="00332A96" w:rsidRDefault="00EC0B1B" w:rsidP="00EC0B1B">
      <w:pPr>
        <w:pStyle w:val="ListParagraph"/>
        <w:numPr>
          <w:ilvl w:val="1"/>
          <w:numId w:val="1"/>
        </w:numPr>
        <w:tabs>
          <w:tab w:val="left" w:pos="1276"/>
        </w:tabs>
        <w:spacing w:after="0"/>
        <w:jc w:val="both"/>
        <w:rPr>
          <w:rFonts w:ascii="Tahoma" w:hAnsi="Tahoma" w:cs="Tahoma"/>
        </w:rPr>
      </w:pPr>
      <w:r w:rsidRPr="00332A96">
        <w:rPr>
          <w:rFonts w:ascii="Tahoma" w:hAnsi="Tahoma" w:cs="Tahoma"/>
        </w:rPr>
        <w:t xml:space="preserve">The Risk Management, Anti-Corruption and Anti-Fraud Committee should note the internal audit plan after it has been drafted in order to understand the areas covered by it in terms of risks as per the risks </w:t>
      </w:r>
      <w:proofErr w:type="gramStart"/>
      <w:r w:rsidRPr="00332A96">
        <w:rPr>
          <w:rFonts w:ascii="Tahoma" w:hAnsi="Tahoma" w:cs="Tahoma"/>
        </w:rPr>
        <w:t>registers</w:t>
      </w:r>
      <w:proofErr w:type="gramEnd"/>
    </w:p>
    <w:p w14:paraId="67EE6662" w14:textId="77777777" w:rsidR="00EC0B1B" w:rsidRPr="00EC0B1B" w:rsidRDefault="00EC0B1B" w:rsidP="00EC0B1B"/>
    <w:sectPr w:rsidR="00EC0B1B" w:rsidRPr="00EC0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F1851"/>
    <w:multiLevelType w:val="hybridMultilevel"/>
    <w:tmpl w:val="2D321F8C"/>
    <w:lvl w:ilvl="0" w:tplc="9E966424">
      <w:start w:val="4"/>
      <w:numFmt w:val="bullet"/>
      <w:lvlText w:val="-"/>
      <w:lvlJc w:val="left"/>
      <w:pPr>
        <w:ind w:left="1639" w:hanging="360"/>
      </w:pPr>
      <w:rPr>
        <w:rFonts w:ascii="Arial" w:eastAsia="Calibri" w:hAnsi="Arial" w:cs="Arial" w:hint="default"/>
      </w:rPr>
    </w:lvl>
    <w:lvl w:ilvl="1" w:tplc="1C090003" w:tentative="1">
      <w:start w:val="1"/>
      <w:numFmt w:val="bullet"/>
      <w:lvlText w:val="o"/>
      <w:lvlJc w:val="left"/>
      <w:pPr>
        <w:ind w:left="2359" w:hanging="360"/>
      </w:pPr>
      <w:rPr>
        <w:rFonts w:ascii="Courier New" w:hAnsi="Courier New" w:cs="Courier New" w:hint="default"/>
      </w:rPr>
    </w:lvl>
    <w:lvl w:ilvl="2" w:tplc="1C090005" w:tentative="1">
      <w:start w:val="1"/>
      <w:numFmt w:val="bullet"/>
      <w:lvlText w:val=""/>
      <w:lvlJc w:val="left"/>
      <w:pPr>
        <w:ind w:left="3079" w:hanging="360"/>
      </w:pPr>
      <w:rPr>
        <w:rFonts w:ascii="Wingdings" w:hAnsi="Wingdings" w:hint="default"/>
      </w:rPr>
    </w:lvl>
    <w:lvl w:ilvl="3" w:tplc="1C090001" w:tentative="1">
      <w:start w:val="1"/>
      <w:numFmt w:val="bullet"/>
      <w:lvlText w:val=""/>
      <w:lvlJc w:val="left"/>
      <w:pPr>
        <w:ind w:left="3799" w:hanging="360"/>
      </w:pPr>
      <w:rPr>
        <w:rFonts w:ascii="Symbol" w:hAnsi="Symbol" w:hint="default"/>
      </w:rPr>
    </w:lvl>
    <w:lvl w:ilvl="4" w:tplc="1C090003" w:tentative="1">
      <w:start w:val="1"/>
      <w:numFmt w:val="bullet"/>
      <w:lvlText w:val="o"/>
      <w:lvlJc w:val="left"/>
      <w:pPr>
        <w:ind w:left="4519" w:hanging="360"/>
      </w:pPr>
      <w:rPr>
        <w:rFonts w:ascii="Courier New" w:hAnsi="Courier New" w:cs="Courier New" w:hint="default"/>
      </w:rPr>
    </w:lvl>
    <w:lvl w:ilvl="5" w:tplc="1C090005" w:tentative="1">
      <w:start w:val="1"/>
      <w:numFmt w:val="bullet"/>
      <w:lvlText w:val=""/>
      <w:lvlJc w:val="left"/>
      <w:pPr>
        <w:ind w:left="5239" w:hanging="360"/>
      </w:pPr>
      <w:rPr>
        <w:rFonts w:ascii="Wingdings" w:hAnsi="Wingdings" w:hint="default"/>
      </w:rPr>
    </w:lvl>
    <w:lvl w:ilvl="6" w:tplc="1C090001" w:tentative="1">
      <w:start w:val="1"/>
      <w:numFmt w:val="bullet"/>
      <w:lvlText w:val=""/>
      <w:lvlJc w:val="left"/>
      <w:pPr>
        <w:ind w:left="5959" w:hanging="360"/>
      </w:pPr>
      <w:rPr>
        <w:rFonts w:ascii="Symbol" w:hAnsi="Symbol" w:hint="default"/>
      </w:rPr>
    </w:lvl>
    <w:lvl w:ilvl="7" w:tplc="1C090003" w:tentative="1">
      <w:start w:val="1"/>
      <w:numFmt w:val="bullet"/>
      <w:lvlText w:val="o"/>
      <w:lvlJc w:val="left"/>
      <w:pPr>
        <w:ind w:left="6679" w:hanging="360"/>
      </w:pPr>
      <w:rPr>
        <w:rFonts w:ascii="Courier New" w:hAnsi="Courier New" w:cs="Courier New" w:hint="default"/>
      </w:rPr>
    </w:lvl>
    <w:lvl w:ilvl="8" w:tplc="1C090005" w:tentative="1">
      <w:start w:val="1"/>
      <w:numFmt w:val="bullet"/>
      <w:lvlText w:val=""/>
      <w:lvlJc w:val="left"/>
      <w:pPr>
        <w:ind w:left="7399" w:hanging="360"/>
      </w:pPr>
      <w:rPr>
        <w:rFonts w:ascii="Wingdings" w:hAnsi="Wingdings" w:hint="default"/>
      </w:rPr>
    </w:lvl>
  </w:abstractNum>
  <w:abstractNum w:abstractNumId="1" w15:restartNumberingAfterBreak="0">
    <w:nsid w:val="6D1F7D35"/>
    <w:multiLevelType w:val="multilevel"/>
    <w:tmpl w:val="A77A8D42"/>
    <w:lvl w:ilvl="0">
      <w:start w:val="1"/>
      <w:numFmt w:val="decimal"/>
      <w:lvlText w:val="%1."/>
      <w:lvlJc w:val="left"/>
      <w:pPr>
        <w:ind w:left="720" w:hanging="360"/>
      </w:pPr>
    </w:lvl>
    <w:lvl w:ilvl="1">
      <w:start w:val="1"/>
      <w:numFmt w:val="decimal"/>
      <w:isLgl/>
      <w:lvlText w:val="%1.%2"/>
      <w:lvlJc w:val="left"/>
      <w:pPr>
        <w:ind w:left="1279" w:hanging="5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2129272156">
    <w:abstractNumId w:val="1"/>
  </w:num>
  <w:num w:numId="2" w16cid:durableId="103003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1B"/>
    <w:rsid w:val="00EC0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28B6"/>
  <w15:chartTrackingRefBased/>
  <w15:docId w15:val="{E0D978E6-25A7-40A2-81E4-C288CD37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B1B"/>
    <w:pPr>
      <w:spacing w:after="200" w:line="276" w:lineRule="auto"/>
      <w:ind w:left="720"/>
      <w:contextualSpacing/>
    </w:pPr>
    <w:rPr>
      <w:rFonts w:ascii="Calibri" w:eastAsia="Times New Roman" w:hAnsi="Calibri" w:cs="Times New Roman"/>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Mishack Maloka</dc:creator>
  <cp:keywords/>
  <dc:description/>
  <cp:lastModifiedBy>Mishack Maloka</cp:lastModifiedBy>
  <cp:revision>1</cp:revision>
  <dcterms:created xsi:type="dcterms:W3CDTF">2023-01-30T12:42:00Z</dcterms:created>
  <dcterms:modified xsi:type="dcterms:W3CDTF">2023-01-30T12:46:00Z</dcterms:modified>
</cp:coreProperties>
</file>